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30" w:rsidRDefault="00A11BEC">
      <w:r>
        <w:rPr>
          <w:noProof/>
          <w:lang w:val="el-GR" w:eastAsia="el-GR"/>
        </w:rPr>
        <w:drawing>
          <wp:anchor distT="0" distB="0" distL="114300" distR="114300" simplePos="0" relativeHeight="251657728" behindDoc="0" locked="0" layoutInCell="1" allowOverlap="1">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8090" cy="1741580"/>
                    </a:xfrm>
                    <a:prstGeom prst="rect">
                      <a:avLst/>
                    </a:prstGeom>
                  </pic:spPr>
                </pic:pic>
              </a:graphicData>
            </a:graphic>
          </wp:anchor>
        </w:drawing>
      </w:r>
    </w:p>
    <w:p w:rsidR="00B41BBD" w:rsidRDefault="00B41BBD">
      <w:pPr>
        <w:rPr>
          <w:rFonts w:cs="Arial"/>
          <w:b/>
          <w:bCs/>
          <w:color w:val="263673"/>
          <w:kern w:val="32"/>
          <w:sz w:val="28"/>
          <w:szCs w:val="32"/>
        </w:rPr>
      </w:pPr>
    </w:p>
    <w:p w:rsidR="00B02883" w:rsidRDefault="00B02883">
      <w:pPr>
        <w:rPr>
          <w:rFonts w:cs="Arial"/>
          <w:b/>
          <w:bCs/>
          <w:color w:val="263673"/>
          <w:kern w:val="32"/>
          <w:sz w:val="28"/>
          <w:szCs w:val="32"/>
        </w:rPr>
      </w:pPr>
    </w:p>
    <w:p w:rsidR="00B02883" w:rsidRDefault="00B02883">
      <w:pPr>
        <w:rPr>
          <w:rFonts w:cs="Arial"/>
          <w:b/>
          <w:bCs/>
          <w:color w:val="263673"/>
          <w:kern w:val="32"/>
          <w:sz w:val="28"/>
          <w:szCs w:val="32"/>
        </w:rPr>
      </w:pPr>
    </w:p>
    <w:p w:rsidR="00B02883" w:rsidRPr="00213AE8" w:rsidRDefault="00B02883" w:rsidP="004E4589">
      <w:pPr>
        <w:rPr>
          <w:sz w:val="18"/>
        </w:rPr>
      </w:pPr>
    </w:p>
    <w:p w:rsidR="00B02883" w:rsidRPr="00213AE8" w:rsidRDefault="00B02883" w:rsidP="00B02883">
      <w:pPr>
        <w:jc w:val="center"/>
      </w:pPr>
    </w:p>
    <w:p w:rsidR="00B02883" w:rsidRPr="00213AE8" w:rsidRDefault="00B02883" w:rsidP="00B02883">
      <w:pPr>
        <w:jc w:val="center"/>
      </w:pPr>
    </w:p>
    <w:p w:rsidR="00B02883" w:rsidRPr="00213AE8" w:rsidRDefault="00B02883" w:rsidP="00B02883">
      <w:pPr>
        <w:jc w:val="center"/>
      </w:pPr>
    </w:p>
    <w:p w:rsidR="00B02883" w:rsidRPr="00213AE8" w:rsidRDefault="00B02883" w:rsidP="00B02883">
      <w:pPr>
        <w:jc w:val="center"/>
      </w:pPr>
    </w:p>
    <w:p w:rsidR="00B02883" w:rsidRDefault="00B02883" w:rsidP="00B02883">
      <w:pPr>
        <w:jc w:val="center"/>
      </w:pPr>
    </w:p>
    <w:p w:rsidR="004E4589" w:rsidRDefault="004E4589" w:rsidP="00B02883">
      <w:pPr>
        <w:jc w:val="center"/>
      </w:pPr>
    </w:p>
    <w:p w:rsidR="004E4589" w:rsidRDefault="004E4589" w:rsidP="00B02883">
      <w:pPr>
        <w:jc w:val="center"/>
      </w:pPr>
    </w:p>
    <w:p w:rsidR="004E4589" w:rsidRDefault="004E4589" w:rsidP="00B02883">
      <w:pPr>
        <w:jc w:val="center"/>
      </w:pPr>
    </w:p>
    <w:p w:rsidR="004E4589" w:rsidRDefault="004E4589" w:rsidP="00B02883">
      <w:pPr>
        <w:jc w:val="center"/>
      </w:pPr>
    </w:p>
    <w:p w:rsidR="004E4589" w:rsidRPr="00213AE8" w:rsidRDefault="004E4589" w:rsidP="00B02883">
      <w:pPr>
        <w:jc w:val="center"/>
      </w:pPr>
    </w:p>
    <w:p w:rsidR="00B02883" w:rsidRPr="00213AE8" w:rsidRDefault="00B02883" w:rsidP="00B02883">
      <w:pPr>
        <w:jc w:val="center"/>
      </w:pPr>
    </w:p>
    <w:p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af"/>
          <w:b/>
          <w:color w:val="263673"/>
          <w:sz w:val="32"/>
          <w:szCs w:val="32"/>
        </w:rPr>
        <w:footnoteReference w:id="1"/>
      </w:r>
      <w:r w:rsidRPr="00F5111D">
        <w:rPr>
          <w:b/>
          <w:color w:val="263673"/>
          <w:sz w:val="32"/>
          <w:szCs w:val="32"/>
        </w:rPr>
        <w:t xml:space="preserve"> agreement 20[14]-20[23]</w:t>
      </w:r>
      <w:r w:rsidRPr="00F5111D">
        <w:rPr>
          <w:rStyle w:val="af"/>
          <w:b/>
          <w:color w:val="263673"/>
          <w:sz w:val="32"/>
          <w:szCs w:val="32"/>
        </w:rPr>
        <w:footnoteReference w:id="2"/>
      </w:r>
      <w:r w:rsidRPr="00F5111D">
        <w:rPr>
          <w:b/>
          <w:color w:val="263673"/>
          <w:sz w:val="32"/>
          <w:szCs w:val="32"/>
        </w:rPr>
        <w:br/>
      </w:r>
      <w:r w:rsidRPr="00F5111D">
        <w:rPr>
          <w:b/>
          <w:color w:val="263673"/>
          <w:sz w:val="24"/>
          <w:szCs w:val="32"/>
        </w:rPr>
        <w:t>between institutions from</w:t>
      </w:r>
    </w:p>
    <w:p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af"/>
          <w:b/>
          <w:color w:val="263673"/>
          <w:sz w:val="24"/>
          <w:szCs w:val="32"/>
        </w:rPr>
        <w:footnoteReference w:id="3"/>
      </w:r>
    </w:p>
    <w:p w:rsidR="00F5111D" w:rsidRPr="00F5111D" w:rsidRDefault="00F5111D" w:rsidP="00F5111D">
      <w:pPr>
        <w:jc w:val="center"/>
        <w:rPr>
          <w:b/>
          <w:color w:val="263673"/>
          <w:sz w:val="24"/>
          <w:szCs w:val="32"/>
        </w:rPr>
      </w:pPr>
    </w:p>
    <w:p w:rsidR="00F5111D" w:rsidRPr="00F5111D" w:rsidRDefault="00F5111D" w:rsidP="00F5111D">
      <w:pPr>
        <w:jc w:val="center"/>
        <w:rPr>
          <w:b/>
          <w:bCs/>
          <w:color w:val="263673"/>
        </w:rPr>
      </w:pPr>
      <w:r w:rsidRPr="00F5111D">
        <w:rPr>
          <w:b/>
          <w:bCs/>
          <w:color w:val="263673"/>
        </w:rPr>
        <w:t>[Minimum requirements]</w:t>
      </w:r>
      <w:r w:rsidRPr="00F5111D">
        <w:rPr>
          <w:rStyle w:val="af"/>
          <w:b/>
          <w:bCs/>
          <w:color w:val="263673"/>
        </w:rPr>
        <w:footnoteReference w:id="4"/>
      </w:r>
    </w:p>
    <w:p w:rsidR="00903D75" w:rsidRDefault="00903D75" w:rsidP="004E4589">
      <w:pPr>
        <w:pStyle w:val="Editorname"/>
      </w:pPr>
    </w:p>
    <w:p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rsidR="006814D8" w:rsidRPr="004E4589" w:rsidRDefault="00B02883" w:rsidP="004E4589">
      <w:pPr>
        <w:pStyle w:val="Editorname"/>
      </w:pPr>
      <w:r>
        <w:rPr>
          <w:rFonts w:cs="Arial"/>
          <w:b/>
          <w:bCs/>
          <w:color w:val="263673"/>
          <w:kern w:val="32"/>
          <w:sz w:val="28"/>
          <w:szCs w:val="32"/>
        </w:rPr>
        <w:br w:type="page"/>
      </w:r>
    </w:p>
    <w:p w:rsidR="00903D75" w:rsidRDefault="00903D75">
      <w:pPr>
        <w:sectPr w:rsidR="00903D75" w:rsidSect="0017706F">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418" w:left="1418" w:header="709" w:footer="709" w:gutter="0"/>
          <w:pgNumType w:start="1"/>
          <w:cols w:space="708"/>
          <w:titlePg/>
          <w:docGrid w:linePitch="360"/>
        </w:sectPr>
      </w:pPr>
    </w:p>
    <w:p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rsidR="00D2200F" w:rsidRPr="00D02D0C" w:rsidRDefault="00D2200F"/>
    <w:p w:rsidR="00E14EB6" w:rsidRDefault="00FD439D">
      <w:pPr>
        <w:pStyle w:val="10"/>
        <w:tabs>
          <w:tab w:val="left" w:pos="440"/>
        </w:tabs>
        <w:rPr>
          <w:rFonts w:asciiTheme="minorHAnsi" w:eastAsiaTheme="minorEastAsia" w:hAnsiTheme="minorHAnsi" w:cstheme="minorBidi"/>
          <w:noProof/>
          <w:color w:val="auto"/>
          <w:sz w:val="22"/>
          <w:szCs w:val="22"/>
        </w:rPr>
      </w:pPr>
      <w:r>
        <w:fldChar w:fldCharType="begin"/>
      </w:r>
      <w:r w:rsidR="00C42E69">
        <w:instrText xml:space="preserve"> TOC \o "1-3" \h \z \u </w:instrText>
      </w:r>
      <w:r>
        <w:fldChar w:fldCharType="separate"/>
      </w:r>
      <w:hyperlink w:anchor="_Toc27574755" w:history="1">
        <w:r w:rsidR="00E14EB6" w:rsidRPr="003D7C7D">
          <w:rPr>
            <w:rStyle w:val="-"/>
            <w:noProof/>
          </w:rPr>
          <w:t>A.</w:t>
        </w:r>
        <w:r w:rsidR="00E14EB6">
          <w:rPr>
            <w:rFonts w:asciiTheme="minorHAnsi" w:eastAsiaTheme="minorEastAsia" w:hAnsiTheme="minorHAnsi" w:cstheme="minorBidi"/>
            <w:noProof/>
            <w:color w:val="auto"/>
            <w:sz w:val="22"/>
            <w:szCs w:val="22"/>
          </w:rPr>
          <w:tab/>
        </w:r>
        <w:r w:rsidR="00E14EB6" w:rsidRPr="003D7C7D">
          <w:rPr>
            <w:rStyle w:val="-"/>
            <w:noProof/>
          </w:rPr>
          <w:t>Information about higher education institutions</w:t>
        </w:r>
        <w:r w:rsidR="00E14EB6">
          <w:rPr>
            <w:noProof/>
            <w:webHidden/>
          </w:rPr>
          <w:tab/>
        </w:r>
        <w:r>
          <w:rPr>
            <w:noProof/>
            <w:webHidden/>
          </w:rPr>
          <w:fldChar w:fldCharType="begin"/>
        </w:r>
        <w:r w:rsidR="00E14EB6">
          <w:rPr>
            <w:noProof/>
            <w:webHidden/>
          </w:rPr>
          <w:instrText xml:space="preserve"> PAGEREF _Toc27574755 \h </w:instrText>
        </w:r>
        <w:r>
          <w:rPr>
            <w:noProof/>
            <w:webHidden/>
          </w:rPr>
        </w:r>
        <w:r>
          <w:rPr>
            <w:noProof/>
            <w:webHidden/>
          </w:rPr>
          <w:fldChar w:fldCharType="separate"/>
        </w:r>
        <w:r w:rsidR="00E14EB6">
          <w:rPr>
            <w:noProof/>
            <w:webHidden/>
          </w:rPr>
          <w:t>2</w:t>
        </w:r>
        <w:r>
          <w:rPr>
            <w:noProof/>
            <w:webHidden/>
          </w:rPr>
          <w:fldChar w:fldCharType="end"/>
        </w:r>
      </w:hyperlink>
    </w:p>
    <w:p w:rsidR="00E14EB6" w:rsidRDefault="00FD439D">
      <w:pPr>
        <w:pStyle w:val="10"/>
        <w:tabs>
          <w:tab w:val="left" w:pos="440"/>
        </w:tabs>
        <w:rPr>
          <w:rFonts w:asciiTheme="minorHAnsi" w:eastAsiaTheme="minorEastAsia" w:hAnsiTheme="minorHAnsi" w:cstheme="minorBidi"/>
          <w:noProof/>
          <w:color w:val="auto"/>
          <w:sz w:val="22"/>
          <w:szCs w:val="22"/>
        </w:rPr>
      </w:pPr>
      <w:hyperlink w:anchor="_Toc27574756" w:history="1">
        <w:r w:rsidR="00E14EB6" w:rsidRPr="003D7C7D">
          <w:rPr>
            <w:rStyle w:val="-"/>
            <w:noProof/>
          </w:rPr>
          <w:t>B.</w:t>
        </w:r>
        <w:r w:rsidR="00E14EB6">
          <w:rPr>
            <w:rFonts w:asciiTheme="minorHAnsi" w:eastAsiaTheme="minorEastAsia" w:hAnsiTheme="minorHAnsi" w:cstheme="minorBidi"/>
            <w:noProof/>
            <w:color w:val="auto"/>
            <w:sz w:val="22"/>
            <w:szCs w:val="22"/>
          </w:rPr>
          <w:tab/>
        </w:r>
        <w:r w:rsidR="00E14EB6" w:rsidRPr="003D7C7D">
          <w:rPr>
            <w:rStyle w:val="-"/>
            <w:noProof/>
          </w:rPr>
          <w:t>Mobility numbers per academic year</w:t>
        </w:r>
        <w:r w:rsidR="00E14EB6">
          <w:rPr>
            <w:noProof/>
            <w:webHidden/>
          </w:rPr>
          <w:tab/>
        </w:r>
        <w:r>
          <w:rPr>
            <w:noProof/>
            <w:webHidden/>
          </w:rPr>
          <w:fldChar w:fldCharType="begin"/>
        </w:r>
        <w:r w:rsidR="00E14EB6">
          <w:rPr>
            <w:noProof/>
            <w:webHidden/>
          </w:rPr>
          <w:instrText xml:space="preserve"> PAGEREF _Toc27574756 \h </w:instrText>
        </w:r>
        <w:r>
          <w:rPr>
            <w:noProof/>
            <w:webHidden/>
          </w:rPr>
        </w:r>
        <w:r>
          <w:rPr>
            <w:noProof/>
            <w:webHidden/>
          </w:rPr>
          <w:fldChar w:fldCharType="separate"/>
        </w:r>
        <w:r w:rsidR="00E14EB6">
          <w:rPr>
            <w:noProof/>
            <w:webHidden/>
          </w:rPr>
          <w:t>3</w:t>
        </w:r>
        <w:r>
          <w:rPr>
            <w:noProof/>
            <w:webHidden/>
          </w:rPr>
          <w:fldChar w:fldCharType="end"/>
        </w:r>
      </w:hyperlink>
    </w:p>
    <w:p w:rsidR="00E14EB6" w:rsidRDefault="00FD439D">
      <w:pPr>
        <w:pStyle w:val="10"/>
        <w:tabs>
          <w:tab w:val="left" w:pos="440"/>
        </w:tabs>
        <w:rPr>
          <w:rFonts w:asciiTheme="minorHAnsi" w:eastAsiaTheme="minorEastAsia" w:hAnsiTheme="minorHAnsi" w:cstheme="minorBidi"/>
          <w:noProof/>
          <w:color w:val="auto"/>
          <w:sz w:val="22"/>
          <w:szCs w:val="22"/>
        </w:rPr>
      </w:pPr>
      <w:hyperlink w:anchor="_Toc27574757" w:history="1">
        <w:r w:rsidR="00E14EB6" w:rsidRPr="003D7C7D">
          <w:rPr>
            <w:rStyle w:val="-"/>
            <w:noProof/>
          </w:rPr>
          <w:t>C.</w:t>
        </w:r>
        <w:r w:rsidR="00E14EB6">
          <w:rPr>
            <w:rFonts w:asciiTheme="minorHAnsi" w:eastAsiaTheme="minorEastAsia" w:hAnsiTheme="minorHAnsi" w:cstheme="minorBidi"/>
            <w:noProof/>
            <w:color w:val="auto"/>
            <w:sz w:val="22"/>
            <w:szCs w:val="22"/>
          </w:rPr>
          <w:tab/>
        </w:r>
        <w:r w:rsidR="00E14EB6" w:rsidRPr="003D7C7D">
          <w:rPr>
            <w:rStyle w:val="-"/>
            <w:noProof/>
          </w:rPr>
          <w:t>Recommended language skills</w:t>
        </w:r>
        <w:r w:rsidR="00E14EB6">
          <w:rPr>
            <w:noProof/>
            <w:webHidden/>
          </w:rPr>
          <w:tab/>
        </w:r>
        <w:r>
          <w:rPr>
            <w:noProof/>
            <w:webHidden/>
          </w:rPr>
          <w:fldChar w:fldCharType="begin"/>
        </w:r>
        <w:r w:rsidR="00E14EB6">
          <w:rPr>
            <w:noProof/>
            <w:webHidden/>
          </w:rPr>
          <w:instrText xml:space="preserve"> PAGEREF _Toc27574757 \h </w:instrText>
        </w:r>
        <w:r>
          <w:rPr>
            <w:noProof/>
            <w:webHidden/>
          </w:rPr>
        </w:r>
        <w:r>
          <w:rPr>
            <w:noProof/>
            <w:webHidden/>
          </w:rPr>
          <w:fldChar w:fldCharType="separate"/>
        </w:r>
        <w:r w:rsidR="00E14EB6">
          <w:rPr>
            <w:noProof/>
            <w:webHidden/>
          </w:rPr>
          <w:t>4</w:t>
        </w:r>
        <w:r>
          <w:rPr>
            <w:noProof/>
            <w:webHidden/>
          </w:rPr>
          <w:fldChar w:fldCharType="end"/>
        </w:r>
      </w:hyperlink>
    </w:p>
    <w:p w:rsidR="00E14EB6" w:rsidRDefault="00FD439D">
      <w:pPr>
        <w:pStyle w:val="10"/>
        <w:tabs>
          <w:tab w:val="left" w:pos="660"/>
        </w:tabs>
        <w:rPr>
          <w:rFonts w:asciiTheme="minorHAnsi" w:eastAsiaTheme="minorEastAsia" w:hAnsiTheme="minorHAnsi" w:cstheme="minorBidi"/>
          <w:noProof/>
          <w:color w:val="auto"/>
          <w:sz w:val="22"/>
          <w:szCs w:val="22"/>
        </w:rPr>
      </w:pPr>
      <w:hyperlink w:anchor="_Toc27574758" w:history="1">
        <w:r w:rsidR="00E14EB6" w:rsidRPr="003D7C7D">
          <w:rPr>
            <w:rStyle w:val="-"/>
            <w:noProof/>
          </w:rPr>
          <w:t>D.</w:t>
        </w:r>
        <w:r w:rsidR="00E14EB6">
          <w:rPr>
            <w:rFonts w:asciiTheme="minorHAnsi" w:eastAsiaTheme="minorEastAsia" w:hAnsiTheme="minorHAnsi" w:cstheme="minorBidi"/>
            <w:noProof/>
            <w:color w:val="auto"/>
            <w:sz w:val="22"/>
            <w:szCs w:val="22"/>
          </w:rPr>
          <w:tab/>
        </w:r>
        <w:r w:rsidR="00E14EB6" w:rsidRPr="003D7C7D">
          <w:rPr>
            <w:rStyle w:val="-"/>
            <w:noProof/>
          </w:rPr>
          <w:t>Respect of fundamental principles and other mobility requirements</w:t>
        </w:r>
        <w:r w:rsidR="00E14EB6">
          <w:rPr>
            <w:noProof/>
            <w:webHidden/>
          </w:rPr>
          <w:tab/>
        </w:r>
        <w:r>
          <w:rPr>
            <w:noProof/>
            <w:webHidden/>
          </w:rPr>
          <w:fldChar w:fldCharType="begin"/>
        </w:r>
        <w:r w:rsidR="00E14EB6">
          <w:rPr>
            <w:noProof/>
            <w:webHidden/>
          </w:rPr>
          <w:instrText xml:space="preserve"> PAGEREF _Toc27574758 \h </w:instrText>
        </w:r>
        <w:r>
          <w:rPr>
            <w:noProof/>
            <w:webHidden/>
          </w:rPr>
        </w:r>
        <w:r>
          <w:rPr>
            <w:noProof/>
            <w:webHidden/>
          </w:rPr>
          <w:fldChar w:fldCharType="separate"/>
        </w:r>
        <w:r w:rsidR="00E14EB6">
          <w:rPr>
            <w:noProof/>
            <w:webHidden/>
          </w:rPr>
          <w:t>4</w:t>
        </w:r>
        <w:r>
          <w:rPr>
            <w:noProof/>
            <w:webHidden/>
          </w:rPr>
          <w:fldChar w:fldCharType="end"/>
        </w:r>
      </w:hyperlink>
    </w:p>
    <w:p w:rsidR="00E14EB6" w:rsidRDefault="00FD439D">
      <w:pPr>
        <w:pStyle w:val="23"/>
        <w:tabs>
          <w:tab w:val="right" w:leader="dot" w:pos="9060"/>
        </w:tabs>
        <w:rPr>
          <w:rFonts w:asciiTheme="minorHAnsi" w:eastAsiaTheme="minorEastAsia" w:hAnsiTheme="minorHAnsi" w:cstheme="minorBidi"/>
          <w:noProof/>
          <w:color w:val="auto"/>
          <w:sz w:val="22"/>
          <w:szCs w:val="22"/>
        </w:rPr>
      </w:pPr>
      <w:hyperlink w:anchor="_Toc27574759" w:history="1">
        <w:r w:rsidR="00E14EB6" w:rsidRPr="003D7C7D">
          <w:rPr>
            <w:rStyle w:val="-"/>
            <w:rFonts w:eastAsia="Verdana"/>
            <w:noProof/>
          </w:rPr>
          <w:t>Before mobility</w:t>
        </w:r>
        <w:r w:rsidR="00E14EB6">
          <w:rPr>
            <w:noProof/>
            <w:webHidden/>
          </w:rPr>
          <w:tab/>
        </w:r>
        <w:r>
          <w:rPr>
            <w:noProof/>
            <w:webHidden/>
          </w:rPr>
          <w:fldChar w:fldCharType="begin"/>
        </w:r>
        <w:r w:rsidR="00E14EB6">
          <w:rPr>
            <w:noProof/>
            <w:webHidden/>
          </w:rPr>
          <w:instrText xml:space="preserve"> PAGEREF _Toc27574759 \h </w:instrText>
        </w:r>
        <w:r>
          <w:rPr>
            <w:noProof/>
            <w:webHidden/>
          </w:rPr>
        </w:r>
        <w:r>
          <w:rPr>
            <w:noProof/>
            <w:webHidden/>
          </w:rPr>
          <w:fldChar w:fldCharType="separate"/>
        </w:r>
        <w:r w:rsidR="00E14EB6">
          <w:rPr>
            <w:noProof/>
            <w:webHidden/>
          </w:rPr>
          <w:t>5</w:t>
        </w:r>
        <w:r>
          <w:rPr>
            <w:noProof/>
            <w:webHidden/>
          </w:rPr>
          <w:fldChar w:fldCharType="end"/>
        </w:r>
      </w:hyperlink>
    </w:p>
    <w:p w:rsidR="00E14EB6" w:rsidRDefault="00FD439D">
      <w:pPr>
        <w:pStyle w:val="23"/>
        <w:tabs>
          <w:tab w:val="right" w:leader="dot" w:pos="9060"/>
        </w:tabs>
        <w:rPr>
          <w:rFonts w:asciiTheme="minorHAnsi" w:eastAsiaTheme="minorEastAsia" w:hAnsiTheme="minorHAnsi" w:cstheme="minorBidi"/>
          <w:noProof/>
          <w:color w:val="auto"/>
          <w:sz w:val="22"/>
          <w:szCs w:val="22"/>
        </w:rPr>
      </w:pPr>
      <w:hyperlink w:anchor="_Toc27574760" w:history="1">
        <w:r w:rsidR="00E14EB6" w:rsidRPr="003D7C7D">
          <w:rPr>
            <w:rStyle w:val="-"/>
            <w:rFonts w:eastAsia="Verdana"/>
            <w:noProof/>
          </w:rPr>
          <w:t>During and after mobility</w:t>
        </w:r>
        <w:r w:rsidR="00E14EB6">
          <w:rPr>
            <w:noProof/>
            <w:webHidden/>
          </w:rPr>
          <w:tab/>
        </w:r>
        <w:r>
          <w:rPr>
            <w:noProof/>
            <w:webHidden/>
          </w:rPr>
          <w:fldChar w:fldCharType="begin"/>
        </w:r>
        <w:r w:rsidR="00E14EB6">
          <w:rPr>
            <w:noProof/>
            <w:webHidden/>
          </w:rPr>
          <w:instrText xml:space="preserve"> PAGEREF _Toc27574760 \h </w:instrText>
        </w:r>
        <w:r>
          <w:rPr>
            <w:noProof/>
            <w:webHidden/>
          </w:rPr>
        </w:r>
        <w:r>
          <w:rPr>
            <w:noProof/>
            <w:webHidden/>
          </w:rPr>
          <w:fldChar w:fldCharType="separate"/>
        </w:r>
        <w:r w:rsidR="00E14EB6">
          <w:rPr>
            <w:noProof/>
            <w:webHidden/>
          </w:rPr>
          <w:t>5</w:t>
        </w:r>
        <w:r>
          <w:rPr>
            <w:noProof/>
            <w:webHidden/>
          </w:rPr>
          <w:fldChar w:fldCharType="end"/>
        </w:r>
      </w:hyperlink>
    </w:p>
    <w:p w:rsidR="00E14EB6" w:rsidRDefault="00FD439D">
      <w:pPr>
        <w:pStyle w:val="10"/>
        <w:tabs>
          <w:tab w:val="left" w:pos="660"/>
        </w:tabs>
        <w:rPr>
          <w:rFonts w:asciiTheme="minorHAnsi" w:eastAsiaTheme="minorEastAsia" w:hAnsiTheme="minorHAnsi" w:cstheme="minorBidi"/>
          <w:noProof/>
          <w:color w:val="auto"/>
          <w:sz w:val="22"/>
          <w:szCs w:val="22"/>
        </w:rPr>
      </w:pPr>
      <w:hyperlink w:anchor="_Toc27574761" w:history="1">
        <w:r w:rsidR="00E14EB6" w:rsidRPr="003D7C7D">
          <w:rPr>
            <w:rStyle w:val="-"/>
            <w:noProof/>
          </w:rPr>
          <w:t xml:space="preserve">E. </w:t>
        </w:r>
        <w:r w:rsidR="00E14EB6">
          <w:rPr>
            <w:rFonts w:asciiTheme="minorHAnsi" w:eastAsiaTheme="minorEastAsia" w:hAnsiTheme="minorHAnsi" w:cstheme="minorBidi"/>
            <w:noProof/>
            <w:color w:val="auto"/>
            <w:sz w:val="22"/>
            <w:szCs w:val="22"/>
          </w:rPr>
          <w:tab/>
        </w:r>
        <w:r w:rsidR="00E14EB6" w:rsidRPr="003D7C7D">
          <w:rPr>
            <w:rStyle w:val="-"/>
            <w:noProof/>
          </w:rPr>
          <w:t>Additional requirements</w:t>
        </w:r>
        <w:r w:rsidR="00E14EB6">
          <w:rPr>
            <w:noProof/>
            <w:webHidden/>
          </w:rPr>
          <w:tab/>
        </w:r>
        <w:r>
          <w:rPr>
            <w:noProof/>
            <w:webHidden/>
          </w:rPr>
          <w:fldChar w:fldCharType="begin"/>
        </w:r>
        <w:r w:rsidR="00E14EB6">
          <w:rPr>
            <w:noProof/>
            <w:webHidden/>
          </w:rPr>
          <w:instrText xml:space="preserve"> PAGEREF _Toc27574761 \h </w:instrText>
        </w:r>
        <w:r>
          <w:rPr>
            <w:noProof/>
            <w:webHidden/>
          </w:rPr>
        </w:r>
        <w:r>
          <w:rPr>
            <w:noProof/>
            <w:webHidden/>
          </w:rPr>
          <w:fldChar w:fldCharType="separate"/>
        </w:r>
        <w:r w:rsidR="00E14EB6">
          <w:rPr>
            <w:noProof/>
            <w:webHidden/>
          </w:rPr>
          <w:t>6</w:t>
        </w:r>
        <w:r>
          <w:rPr>
            <w:noProof/>
            <w:webHidden/>
          </w:rPr>
          <w:fldChar w:fldCharType="end"/>
        </w:r>
      </w:hyperlink>
    </w:p>
    <w:p w:rsidR="00E14EB6" w:rsidRDefault="00FD439D">
      <w:pPr>
        <w:pStyle w:val="10"/>
        <w:tabs>
          <w:tab w:val="left" w:pos="440"/>
        </w:tabs>
        <w:rPr>
          <w:rFonts w:asciiTheme="minorHAnsi" w:eastAsiaTheme="minorEastAsia" w:hAnsiTheme="minorHAnsi" w:cstheme="minorBidi"/>
          <w:noProof/>
          <w:color w:val="auto"/>
          <w:sz w:val="22"/>
          <w:szCs w:val="22"/>
        </w:rPr>
      </w:pPr>
      <w:hyperlink w:anchor="_Toc27574762" w:history="1">
        <w:r w:rsidR="00E14EB6" w:rsidRPr="003D7C7D">
          <w:rPr>
            <w:rStyle w:val="-"/>
            <w:noProof/>
          </w:rPr>
          <w:t>F.</w:t>
        </w:r>
        <w:r w:rsidR="00E14EB6">
          <w:rPr>
            <w:rFonts w:asciiTheme="minorHAnsi" w:eastAsiaTheme="minorEastAsia" w:hAnsiTheme="minorHAnsi" w:cstheme="minorBidi"/>
            <w:noProof/>
            <w:color w:val="auto"/>
            <w:sz w:val="22"/>
            <w:szCs w:val="22"/>
          </w:rPr>
          <w:tab/>
        </w:r>
        <w:r w:rsidR="00E14EB6" w:rsidRPr="003D7C7D">
          <w:rPr>
            <w:rStyle w:val="-"/>
            <w:noProof/>
          </w:rPr>
          <w:t>Calendar</w:t>
        </w:r>
        <w:r w:rsidR="00E14EB6">
          <w:rPr>
            <w:noProof/>
            <w:webHidden/>
          </w:rPr>
          <w:tab/>
        </w:r>
        <w:r>
          <w:rPr>
            <w:noProof/>
            <w:webHidden/>
          </w:rPr>
          <w:fldChar w:fldCharType="begin"/>
        </w:r>
        <w:r w:rsidR="00E14EB6">
          <w:rPr>
            <w:noProof/>
            <w:webHidden/>
          </w:rPr>
          <w:instrText xml:space="preserve"> PAGEREF _Toc27574762 \h </w:instrText>
        </w:r>
        <w:r>
          <w:rPr>
            <w:noProof/>
            <w:webHidden/>
          </w:rPr>
        </w:r>
        <w:r>
          <w:rPr>
            <w:noProof/>
            <w:webHidden/>
          </w:rPr>
          <w:fldChar w:fldCharType="separate"/>
        </w:r>
        <w:r w:rsidR="00E14EB6">
          <w:rPr>
            <w:noProof/>
            <w:webHidden/>
          </w:rPr>
          <w:t>6</w:t>
        </w:r>
        <w:r>
          <w:rPr>
            <w:noProof/>
            <w:webHidden/>
          </w:rPr>
          <w:fldChar w:fldCharType="end"/>
        </w:r>
      </w:hyperlink>
    </w:p>
    <w:p w:rsidR="00E14EB6" w:rsidRDefault="00FD439D">
      <w:pPr>
        <w:pStyle w:val="10"/>
        <w:tabs>
          <w:tab w:val="left" w:pos="660"/>
        </w:tabs>
        <w:rPr>
          <w:rFonts w:asciiTheme="minorHAnsi" w:eastAsiaTheme="minorEastAsia" w:hAnsiTheme="minorHAnsi" w:cstheme="minorBidi"/>
          <w:noProof/>
          <w:color w:val="auto"/>
          <w:sz w:val="22"/>
          <w:szCs w:val="22"/>
        </w:rPr>
      </w:pPr>
      <w:hyperlink w:anchor="_Toc27574763" w:history="1">
        <w:r w:rsidR="00E14EB6" w:rsidRPr="003D7C7D">
          <w:rPr>
            <w:rStyle w:val="-"/>
            <w:noProof/>
          </w:rPr>
          <w:t>G.</w:t>
        </w:r>
        <w:r w:rsidR="00E14EB6">
          <w:rPr>
            <w:rFonts w:asciiTheme="minorHAnsi" w:eastAsiaTheme="minorEastAsia" w:hAnsiTheme="minorHAnsi" w:cstheme="minorBidi"/>
            <w:noProof/>
            <w:color w:val="auto"/>
            <w:sz w:val="22"/>
            <w:szCs w:val="22"/>
          </w:rPr>
          <w:tab/>
        </w:r>
        <w:r w:rsidR="00E14EB6" w:rsidRPr="003D7C7D">
          <w:rPr>
            <w:rStyle w:val="-"/>
            <w:noProof/>
          </w:rPr>
          <w:t>Information</w:t>
        </w:r>
        <w:r w:rsidR="00E14EB6">
          <w:rPr>
            <w:noProof/>
            <w:webHidden/>
          </w:rPr>
          <w:tab/>
        </w:r>
        <w:r>
          <w:rPr>
            <w:noProof/>
            <w:webHidden/>
          </w:rPr>
          <w:fldChar w:fldCharType="begin"/>
        </w:r>
        <w:r w:rsidR="00E14EB6">
          <w:rPr>
            <w:noProof/>
            <w:webHidden/>
          </w:rPr>
          <w:instrText xml:space="preserve"> PAGEREF _Toc27574763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FD439D">
      <w:pPr>
        <w:pStyle w:val="23"/>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00E14EB6" w:rsidRPr="003D7C7D">
          <w:rPr>
            <w:rStyle w:val="-"/>
            <w:noProof/>
          </w:rPr>
          <w:t>1.</w:t>
        </w:r>
        <w:r w:rsidR="00E14EB6">
          <w:rPr>
            <w:rFonts w:asciiTheme="minorHAnsi" w:eastAsiaTheme="minorEastAsia" w:hAnsiTheme="minorHAnsi" w:cstheme="minorBidi"/>
            <w:noProof/>
            <w:color w:val="auto"/>
            <w:sz w:val="22"/>
            <w:szCs w:val="22"/>
          </w:rPr>
          <w:tab/>
        </w:r>
        <w:r w:rsidR="00E14EB6" w:rsidRPr="003D7C7D">
          <w:rPr>
            <w:rStyle w:val="-"/>
            <w:noProof/>
          </w:rPr>
          <w:t>Grading systems of the institutions</w:t>
        </w:r>
        <w:r w:rsidR="00E14EB6">
          <w:rPr>
            <w:noProof/>
            <w:webHidden/>
          </w:rPr>
          <w:tab/>
        </w:r>
        <w:r>
          <w:rPr>
            <w:noProof/>
            <w:webHidden/>
          </w:rPr>
          <w:fldChar w:fldCharType="begin"/>
        </w:r>
        <w:r w:rsidR="00E14EB6">
          <w:rPr>
            <w:noProof/>
            <w:webHidden/>
          </w:rPr>
          <w:instrText xml:space="preserve"> PAGEREF _Toc27574764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FD439D">
      <w:pPr>
        <w:pStyle w:val="23"/>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00E14EB6" w:rsidRPr="003D7C7D">
          <w:rPr>
            <w:rStyle w:val="-"/>
            <w:noProof/>
          </w:rPr>
          <w:t>2.</w:t>
        </w:r>
        <w:r w:rsidR="00E14EB6">
          <w:rPr>
            <w:rFonts w:asciiTheme="minorHAnsi" w:eastAsiaTheme="minorEastAsia" w:hAnsiTheme="minorHAnsi" w:cstheme="minorBidi"/>
            <w:noProof/>
            <w:color w:val="auto"/>
            <w:sz w:val="22"/>
            <w:szCs w:val="22"/>
          </w:rPr>
          <w:tab/>
        </w:r>
        <w:r w:rsidR="00E14EB6" w:rsidRPr="003D7C7D">
          <w:rPr>
            <w:rStyle w:val="-"/>
            <w:noProof/>
          </w:rPr>
          <w:t>Visa</w:t>
        </w:r>
        <w:r w:rsidR="00E14EB6">
          <w:rPr>
            <w:noProof/>
            <w:webHidden/>
          </w:rPr>
          <w:tab/>
        </w:r>
        <w:r>
          <w:rPr>
            <w:noProof/>
            <w:webHidden/>
          </w:rPr>
          <w:fldChar w:fldCharType="begin"/>
        </w:r>
        <w:r w:rsidR="00E14EB6">
          <w:rPr>
            <w:noProof/>
            <w:webHidden/>
          </w:rPr>
          <w:instrText xml:space="preserve"> PAGEREF _Toc27574765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FD439D">
      <w:pPr>
        <w:pStyle w:val="23"/>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00E14EB6" w:rsidRPr="003D7C7D">
          <w:rPr>
            <w:rStyle w:val="-"/>
            <w:noProof/>
          </w:rPr>
          <w:t>3.</w:t>
        </w:r>
        <w:r w:rsidR="00E14EB6">
          <w:rPr>
            <w:rFonts w:asciiTheme="minorHAnsi" w:eastAsiaTheme="minorEastAsia" w:hAnsiTheme="minorHAnsi" w:cstheme="minorBidi"/>
            <w:noProof/>
            <w:color w:val="auto"/>
            <w:sz w:val="22"/>
            <w:szCs w:val="22"/>
          </w:rPr>
          <w:tab/>
        </w:r>
        <w:r w:rsidR="00E14EB6" w:rsidRPr="003D7C7D">
          <w:rPr>
            <w:rStyle w:val="-"/>
            <w:noProof/>
          </w:rPr>
          <w:t>Insurance</w:t>
        </w:r>
        <w:r w:rsidR="00E14EB6">
          <w:rPr>
            <w:noProof/>
            <w:webHidden/>
          </w:rPr>
          <w:tab/>
        </w:r>
        <w:r>
          <w:rPr>
            <w:noProof/>
            <w:webHidden/>
          </w:rPr>
          <w:fldChar w:fldCharType="begin"/>
        </w:r>
        <w:r w:rsidR="00E14EB6">
          <w:rPr>
            <w:noProof/>
            <w:webHidden/>
          </w:rPr>
          <w:instrText xml:space="preserve"> PAGEREF _Toc27574766 \h </w:instrText>
        </w:r>
        <w:r>
          <w:rPr>
            <w:noProof/>
            <w:webHidden/>
          </w:rPr>
        </w:r>
        <w:r>
          <w:rPr>
            <w:noProof/>
            <w:webHidden/>
          </w:rPr>
          <w:fldChar w:fldCharType="separate"/>
        </w:r>
        <w:r w:rsidR="00E14EB6">
          <w:rPr>
            <w:noProof/>
            <w:webHidden/>
          </w:rPr>
          <w:t>7</w:t>
        </w:r>
        <w:r>
          <w:rPr>
            <w:noProof/>
            <w:webHidden/>
          </w:rPr>
          <w:fldChar w:fldCharType="end"/>
        </w:r>
      </w:hyperlink>
    </w:p>
    <w:p w:rsidR="00E14EB6" w:rsidRDefault="00FD439D">
      <w:pPr>
        <w:pStyle w:val="23"/>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00E14EB6" w:rsidRPr="003D7C7D">
          <w:rPr>
            <w:rStyle w:val="-"/>
            <w:noProof/>
          </w:rPr>
          <w:t>4.</w:t>
        </w:r>
        <w:r w:rsidR="00E14EB6">
          <w:rPr>
            <w:rFonts w:asciiTheme="minorHAnsi" w:eastAsiaTheme="minorEastAsia" w:hAnsiTheme="minorHAnsi" w:cstheme="minorBidi"/>
            <w:noProof/>
            <w:color w:val="auto"/>
            <w:sz w:val="22"/>
            <w:szCs w:val="22"/>
          </w:rPr>
          <w:tab/>
        </w:r>
        <w:r w:rsidR="00E14EB6" w:rsidRPr="003D7C7D">
          <w:rPr>
            <w:rStyle w:val="-"/>
            <w:noProof/>
          </w:rPr>
          <w:t>Housing</w:t>
        </w:r>
        <w:r w:rsidR="00E14EB6">
          <w:rPr>
            <w:noProof/>
            <w:webHidden/>
          </w:rPr>
          <w:tab/>
        </w:r>
        <w:r>
          <w:rPr>
            <w:noProof/>
            <w:webHidden/>
          </w:rPr>
          <w:fldChar w:fldCharType="begin"/>
        </w:r>
        <w:r w:rsidR="00E14EB6">
          <w:rPr>
            <w:noProof/>
            <w:webHidden/>
          </w:rPr>
          <w:instrText xml:space="preserve"> PAGEREF _Toc27574767 \h </w:instrText>
        </w:r>
        <w:r>
          <w:rPr>
            <w:noProof/>
            <w:webHidden/>
          </w:rPr>
        </w:r>
        <w:r>
          <w:rPr>
            <w:noProof/>
            <w:webHidden/>
          </w:rPr>
          <w:fldChar w:fldCharType="separate"/>
        </w:r>
        <w:r w:rsidR="00E14EB6">
          <w:rPr>
            <w:noProof/>
            <w:webHidden/>
          </w:rPr>
          <w:t>8</w:t>
        </w:r>
        <w:r>
          <w:rPr>
            <w:noProof/>
            <w:webHidden/>
          </w:rPr>
          <w:fldChar w:fldCharType="end"/>
        </w:r>
      </w:hyperlink>
    </w:p>
    <w:p w:rsidR="00E14EB6" w:rsidRDefault="00FD439D">
      <w:pPr>
        <w:pStyle w:val="10"/>
        <w:tabs>
          <w:tab w:val="left" w:pos="660"/>
        </w:tabs>
        <w:rPr>
          <w:rFonts w:asciiTheme="minorHAnsi" w:eastAsiaTheme="minorEastAsia" w:hAnsiTheme="minorHAnsi" w:cstheme="minorBidi"/>
          <w:noProof/>
          <w:color w:val="auto"/>
          <w:sz w:val="22"/>
          <w:szCs w:val="22"/>
        </w:rPr>
      </w:pPr>
      <w:hyperlink w:anchor="_Toc27574768" w:history="1">
        <w:r w:rsidR="00E14EB6" w:rsidRPr="003D7C7D">
          <w:rPr>
            <w:rStyle w:val="-"/>
            <w:noProof/>
          </w:rPr>
          <w:t>H.</w:t>
        </w:r>
        <w:r w:rsidR="00E14EB6">
          <w:rPr>
            <w:rFonts w:asciiTheme="minorHAnsi" w:eastAsiaTheme="minorEastAsia" w:hAnsiTheme="minorHAnsi" w:cstheme="minorBidi"/>
            <w:noProof/>
            <w:color w:val="auto"/>
            <w:sz w:val="22"/>
            <w:szCs w:val="22"/>
          </w:rPr>
          <w:tab/>
        </w:r>
        <w:r w:rsidR="00E14EB6" w:rsidRPr="003D7C7D">
          <w:rPr>
            <w:rStyle w:val="-"/>
            <w:noProof/>
          </w:rPr>
          <w:t>Signatures of the institutions (legal representatives)</w:t>
        </w:r>
        <w:r w:rsidR="00E14EB6">
          <w:rPr>
            <w:noProof/>
            <w:webHidden/>
          </w:rPr>
          <w:tab/>
        </w:r>
        <w:r>
          <w:rPr>
            <w:noProof/>
            <w:webHidden/>
          </w:rPr>
          <w:fldChar w:fldCharType="begin"/>
        </w:r>
        <w:r w:rsidR="00E14EB6">
          <w:rPr>
            <w:noProof/>
            <w:webHidden/>
          </w:rPr>
          <w:instrText xml:space="preserve"> PAGEREF _Toc27574768 \h </w:instrText>
        </w:r>
        <w:r>
          <w:rPr>
            <w:noProof/>
            <w:webHidden/>
          </w:rPr>
        </w:r>
        <w:r>
          <w:rPr>
            <w:noProof/>
            <w:webHidden/>
          </w:rPr>
          <w:fldChar w:fldCharType="separate"/>
        </w:r>
        <w:r w:rsidR="00E14EB6">
          <w:rPr>
            <w:noProof/>
            <w:webHidden/>
          </w:rPr>
          <w:t>8</w:t>
        </w:r>
        <w:r>
          <w:rPr>
            <w:noProof/>
            <w:webHidden/>
          </w:rPr>
          <w:fldChar w:fldCharType="end"/>
        </w:r>
      </w:hyperlink>
    </w:p>
    <w:p w:rsidR="00B41BBD" w:rsidRPr="00D02D0C" w:rsidRDefault="00FD439D">
      <w:r>
        <w:fldChar w:fldCharType="end"/>
      </w:r>
    </w:p>
    <w:p w:rsidR="00D2200F" w:rsidRPr="00D02D0C" w:rsidRDefault="00D2200F"/>
    <w:p w:rsidR="00B41BBD" w:rsidRPr="00D02D0C" w:rsidRDefault="00B41BBD"/>
    <w:p w:rsidR="00B41BBD" w:rsidRPr="00D02D0C" w:rsidRDefault="00B41BBD"/>
    <w:p w:rsidR="00B41BBD" w:rsidRPr="00D02D0C" w:rsidRDefault="00B41BBD"/>
    <w:p w:rsidR="00B60F8E" w:rsidRDefault="00B60F8E"/>
    <w:p w:rsidR="00C42E69" w:rsidRPr="0087550C" w:rsidRDefault="00FD439D" w:rsidP="00C42E69">
      <w:pPr>
        <w:pStyle w:val="1"/>
      </w:pPr>
      <w:bookmarkStart w:id="0" w:name="_Toc27574755"/>
      <w:r w:rsidRPr="00FD439D">
        <w:rPr>
          <w:b w:val="0"/>
          <w:bCs w:val="0"/>
          <w:noProof/>
        </w:rPr>
        <w:pict>
          <v:shapetype id="_x0000_t202" coordsize="21600,21600" o:spt="202" path="m,l,21600r21600,l21600,xe">
            <v:stroke joinstyle="miter"/>
            <v:path gradientshapeok="t" o:connecttype="rect"/>
          </v:shapetype>
          <v:shape id="Text Box 57" o:spid="_x0000_s1026" type="#_x0000_t202" style="position:absolute;left:0;text-align:left;margin-left:65.5pt;margin-top:485.25pt;width:459.4pt;height:284.85pt;z-index:25165721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x9wIAAIc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TjATtIUU3bG/QSu5RFNvwjIPOwOp6ADuzh3NIs5OqhytZfdVIyKKlYseWSsmxZbQGeqF96Z88&#10;nXC0BdmOH2QNfuitkQ5o36jexg6igQAd0nR/TI3lUsFhlMzJLIarCu7mizBOyNz5oNnD80Fp847J&#10;HtlFjhXk3sHTuyttLB2aPZhYb0KWvOtc/jvx5AAMpxPmCmh6TTOgAktraUm55P5Ig3STbBLikdli&#10;45FgvfaWZUG8RRnG0Xq+Lop1+NOyCEnW8rpmwjp9KLSQ/F0iDyU/lcix1LTseG3hLCWtdtuiU+iO&#10;QqGX7ncIz4mZ/5SGCwloeSYpnJFgNUu9cpHEHilJ5KVxkHhBmK7SRUBSsi6fSrrigr1eEhqhBqNZ&#10;hBHtdjBLKqOmMvujzMD9XsqkWc8NTJWO9zlOjkY0s8W5EbXLuaG8m9YnUbFKfh+VZRkFMZknXhxH&#10;c4/MN4G3SsrCWxbhYhFvVsVq8yzRG1c8+vWBcek5qcQTvgcfj5ShdB/K1HWfbbip9cx+uwfhtiW3&#10;sr6HPlQSugQ6CqY3LFqpvmM0wiTMsf52SxXDqHsvoJfTkBA7Ot2GRPEMNur0Znt6Q0UFUDneQh7d&#10;sjDTuL0dFN+14GmaHkIuof8b7jrzkRVIsRuYdk7UYTLbcXq6d1aP/x8XvwAAAP//AwBQSwMEFAAG&#10;AAgAAAAhACkE5vHgAAAADQEAAA8AAABkcnMvZG93bnJldi54bWxMj8FOwzAQRO9I/IO1SNyonZJC&#10;G+JUqNBjBZR+gB2bJBCvo9hpkr9ne4LbjnY0My/fTq5lZ9uHxqOEZCGAWSy9abCScPrc362BhajQ&#10;qNajlTDbANvi+ipXmfEjftjzMVaMQjBkSkIdY5dxHsraOhUWvrNIvy/fOxVJ9hU3vRop3LV8KcQD&#10;d6pBaqhVZ3e1LX+Og5Pw+q5nnSbf+/RFzNq8jYddORykvL2Znp+ARTvFPzNc5tN0KGiT9gOawFrS&#10;9wmxRAmbR7ECdnGIdEM0mq5VKpbAi5z/pyh+AQAA//8DAFBLAQItABQABgAIAAAAIQC2gziS/gAA&#10;AOEBAAATAAAAAAAAAAAAAAAAAAAAAABbQ29udGVudF9UeXBlc10ueG1sUEsBAi0AFAAGAAgAAAAh&#10;ADj9If/WAAAAlAEAAAsAAAAAAAAAAAAAAAAALwEAAF9yZWxzLy5yZWxzUEsBAi0AFAAGAAgAAAAh&#10;AEVfpLH3AgAAhwYAAA4AAAAAAAAAAAAAAAAALgIAAGRycy9lMm9Eb2MueG1sUEsBAi0AFAAGAAgA&#10;AAAhACkE5vHgAAAADQEAAA8AAAAAAAAAAAAAAAAAUQUAAGRycy9kb3ducmV2LnhtbFBLBQYAAAAA&#10;BAAEAPMAAABeBgAAAAA=&#10;" filled="f" stroked="f">
            <v:textbox>
              <w:txbxContent>
                <w:p w:rsidR="007B1A0F" w:rsidRPr="00696241" w:rsidRDefault="007B1A0F" w:rsidP="007B1A0F">
                  <w:pPr>
                    <w:pStyle w:val="HeadingBody"/>
                    <w:rPr>
                      <w:sz w:val="18"/>
                    </w:rPr>
                  </w:pPr>
                  <w:r w:rsidRPr="00696241">
                    <w:rPr>
                      <w:sz w:val="18"/>
                    </w:rPr>
                    <w:t>EUROPEAN COMMISSION</w:t>
                  </w:r>
                </w:p>
                <w:p w:rsidR="007B1A0F" w:rsidRPr="00696241" w:rsidRDefault="007B1A0F" w:rsidP="007B1A0F">
                  <w:pPr>
                    <w:jc w:val="left"/>
                    <w:rPr>
                      <w:sz w:val="16"/>
                      <w:szCs w:val="16"/>
                    </w:rPr>
                  </w:pPr>
                  <w:r w:rsidRPr="00696241">
                    <w:rPr>
                      <w:sz w:val="16"/>
                      <w:szCs w:val="16"/>
                    </w:rPr>
                    <w:t xml:space="preserve">Directorate-General for </w:t>
                  </w:r>
                  <w:r>
                    <w:rPr>
                      <w:sz w:val="16"/>
                      <w:szCs w:val="16"/>
                    </w:rPr>
                    <w:t>Education, Youth, Sport and Culture</w:t>
                  </w:r>
                </w:p>
                <w:p w:rsidR="007B1A0F" w:rsidRPr="00696241" w:rsidRDefault="007B1A0F"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rsidR="007B1A0F" w:rsidRDefault="007B1A0F"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rsidR="007B1A0F" w:rsidRPr="00696241" w:rsidRDefault="007B1A0F" w:rsidP="007B1A0F">
                  <w:pPr>
                    <w:tabs>
                      <w:tab w:val="left" w:pos="709"/>
                    </w:tabs>
                    <w:spacing w:after="120"/>
                    <w:jc w:val="left"/>
                    <w:rPr>
                      <w:sz w:val="16"/>
                      <w:szCs w:val="16"/>
                    </w:rPr>
                  </w:pPr>
                  <w:r w:rsidRPr="00696241">
                    <w:rPr>
                      <w:i/>
                      <w:sz w:val="16"/>
                      <w:szCs w:val="16"/>
                    </w:rPr>
                    <w:br/>
                  </w:r>
                </w:p>
                <w:p w:rsidR="007B1A0F" w:rsidRDefault="007B1A0F" w:rsidP="007B1A0F">
                  <w:pPr>
                    <w:jc w:val="left"/>
                    <w:rPr>
                      <w:i/>
                      <w:sz w:val="16"/>
                      <w:szCs w:val="16"/>
                    </w:rPr>
                  </w:pPr>
                  <w:r w:rsidRPr="00696241">
                    <w:rPr>
                      <w:i/>
                      <w:sz w:val="16"/>
                      <w:szCs w:val="16"/>
                    </w:rPr>
                    <w:t>European Commission</w:t>
                  </w:r>
                  <w:r w:rsidRPr="00696241">
                    <w:rPr>
                      <w:i/>
                      <w:sz w:val="16"/>
                      <w:szCs w:val="16"/>
                    </w:rPr>
                    <w:br/>
                    <w:t>B-1049 Brussels</w:t>
                  </w:r>
                </w:p>
                <w:p w:rsidR="007B1A0F" w:rsidRPr="00CB282F" w:rsidRDefault="007B1A0F" w:rsidP="007B1A0F">
                  <w:pPr>
                    <w:rPr>
                      <w:sz w:val="16"/>
                    </w:rPr>
                  </w:pPr>
                </w:p>
                <w:p w:rsidR="007B1A0F" w:rsidRPr="00CB282F" w:rsidRDefault="007B1A0F" w:rsidP="007B1A0F">
                  <w:pPr>
                    <w:rPr>
                      <w:sz w:val="16"/>
                    </w:rPr>
                  </w:pPr>
                </w:p>
                <w:p w:rsidR="007B1A0F" w:rsidRPr="00CB282F" w:rsidRDefault="007B1A0F" w:rsidP="007B1A0F">
                  <w:pPr>
                    <w:rPr>
                      <w:sz w:val="16"/>
                    </w:rPr>
                  </w:pPr>
                  <w:r w:rsidRPr="00CB282F">
                    <w:rPr>
                      <w:sz w:val="16"/>
                    </w:rPr>
                    <w:t>© European Union</w:t>
                  </w:r>
                  <w:r>
                    <w:rPr>
                      <w:sz w:val="16"/>
                    </w:rPr>
                    <w:t xml:space="preserve"> 2019</w:t>
                  </w:r>
                </w:p>
                <w:p w:rsidR="007B1A0F" w:rsidRPr="00CB282F" w:rsidRDefault="007B1A0F" w:rsidP="007B1A0F">
                  <w:pPr>
                    <w:rPr>
                      <w:sz w:val="16"/>
                    </w:rPr>
                  </w:pPr>
                  <w:r w:rsidRPr="00CB282F">
                    <w:rPr>
                      <w:sz w:val="16"/>
                    </w:rPr>
                    <w:t xml:space="preserve">Reuse is authorised provided the source is acknowledged. </w:t>
                  </w:r>
                </w:p>
                <w:p w:rsidR="007B1A0F" w:rsidRPr="00CB282F" w:rsidRDefault="007B1A0F" w:rsidP="007B1A0F">
                  <w:pPr>
                    <w:rPr>
                      <w:sz w:val="16"/>
                    </w:rPr>
                  </w:pPr>
                  <w:r w:rsidRPr="00CB282F">
                    <w:rPr>
                      <w:sz w:val="16"/>
                    </w:rPr>
                    <w:t>The reuse policy of European Commission documents is regulated by Decision 2011/833/EU (OJ L 330, 14.12.2011, p. 39).</w:t>
                  </w:r>
                </w:p>
                <w:p w:rsidR="007B1A0F" w:rsidRPr="00CB282F" w:rsidRDefault="007B1A0F" w:rsidP="007B1A0F">
                  <w:pPr>
                    <w:rPr>
                      <w:sz w:val="16"/>
                    </w:rPr>
                  </w:pPr>
                </w:p>
                <w:p w:rsidR="007B1A0F" w:rsidRDefault="007B1A0F" w:rsidP="007B1A0F">
                  <w:pPr>
                    <w:rPr>
                      <w:sz w:val="16"/>
                    </w:rPr>
                  </w:pPr>
                  <w:r w:rsidRPr="00CB282F">
                    <w:rPr>
                      <w:sz w:val="16"/>
                    </w:rPr>
                    <w:t>For any use or reproduction of photos or other material that is not under the EU copyright, permission must be sought directly from the copyright holders.</w:t>
                  </w:r>
                </w:p>
                <w:p w:rsidR="007B1A0F" w:rsidRDefault="007B1A0F" w:rsidP="007B1A0F">
                  <w:pPr>
                    <w:rPr>
                      <w:color w:val="FF0000"/>
                      <w:sz w:val="16"/>
                      <w:szCs w:val="16"/>
                    </w:rPr>
                  </w:pPr>
                </w:p>
                <w:p w:rsidR="007B1A0F" w:rsidRDefault="007B1A0F" w:rsidP="007B1A0F">
                  <w:pPr>
                    <w:rPr>
                      <w:color w:val="FF0000"/>
                      <w:sz w:val="16"/>
                      <w:szCs w:val="16"/>
                    </w:rPr>
                  </w:pPr>
                </w:p>
                <w:p w:rsidR="007B1A0F" w:rsidRPr="00CB282F" w:rsidRDefault="007B1A0F" w:rsidP="007B1A0F">
                  <w:pPr>
                    <w:rPr>
                      <w:sz w:val="16"/>
                    </w:rPr>
                  </w:pPr>
                </w:p>
              </w:txbxContent>
            </v:textbox>
            <w10:wrap anchorx="page" anchory="page"/>
          </v:shape>
        </w:pict>
      </w:r>
      <w:r w:rsidR="00B60F8E">
        <w:br w:type="page"/>
      </w:r>
      <w:bookmarkStart w:id="1" w:name="_Toc488763239"/>
      <w:bookmarkStart w:id="2" w:name="_Toc488763536"/>
      <w:bookmarkStart w:id="3" w:name="_Toc263859406"/>
      <w:r w:rsidR="00C42E69" w:rsidRPr="0087550C">
        <w:lastRenderedPageBreak/>
        <w:t>A.</w:t>
      </w:r>
      <w:r w:rsidR="00C42E69" w:rsidRPr="0087550C">
        <w:tab/>
        <w:t>Information about higher education institutions</w:t>
      </w:r>
      <w:bookmarkEnd w:id="0"/>
    </w:p>
    <w:p w:rsidR="00C42E69" w:rsidRDefault="00C42E69" w:rsidP="00B60F8E">
      <w:pPr>
        <w:pStyle w:val="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2969"/>
        <w:gridCol w:w="1418"/>
        <w:gridCol w:w="2409"/>
        <w:gridCol w:w="2552"/>
      </w:tblGrid>
      <w:tr w:rsidR="00C42E69" w:rsidRPr="00C42E69" w:rsidTr="005A1432">
        <w:tc>
          <w:tcPr>
            <w:tcW w:w="2969" w:type="dxa"/>
            <w:shd w:val="clear" w:color="auto" w:fill="263673"/>
          </w:tcPr>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409" w:type="dxa"/>
            <w:shd w:val="clear" w:color="auto" w:fill="263673"/>
          </w:tcPr>
          <w:p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552" w:type="dxa"/>
            <w:shd w:val="clear" w:color="auto" w:fill="263673"/>
          </w:tcPr>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(eg. of the course catalogue)</w:t>
            </w:r>
          </w:p>
        </w:tc>
      </w:tr>
      <w:tr w:rsidR="00C42E69" w:rsidRPr="00C42E69" w:rsidTr="005A1432">
        <w:tc>
          <w:tcPr>
            <w:tcW w:w="2969" w:type="dxa"/>
            <w:shd w:val="clear" w:color="auto" w:fill="auto"/>
          </w:tcPr>
          <w:p w:rsidR="00C42E69" w:rsidRPr="00C42E69" w:rsidRDefault="00C42E69" w:rsidP="00C42E69">
            <w:pPr>
              <w:spacing w:after="120" w:line="259" w:lineRule="auto"/>
              <w:jc w:val="left"/>
              <w:rPr>
                <w:rFonts w:eastAsia="SimSun" w:cs="Arial"/>
                <w:color w:val="auto"/>
                <w:szCs w:val="22"/>
                <w:lang w:eastAsia="ja-JP"/>
              </w:rPr>
            </w:pPr>
          </w:p>
          <w:p w:rsidR="00C42E69" w:rsidRPr="00C42E69" w:rsidRDefault="00C42E69" w:rsidP="00C42E69">
            <w:pPr>
              <w:spacing w:after="120" w:line="259" w:lineRule="auto"/>
              <w:jc w:val="left"/>
              <w:rPr>
                <w:rFonts w:eastAsia="SimSun" w:cs="Arial"/>
                <w:color w:val="auto"/>
                <w:szCs w:val="22"/>
                <w:lang w:eastAsia="ja-JP"/>
              </w:rPr>
            </w:pPr>
          </w:p>
        </w:tc>
        <w:tc>
          <w:tcPr>
            <w:tcW w:w="1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rsidR="00C42E69" w:rsidRPr="00C42E69" w:rsidRDefault="00C42E69" w:rsidP="00C42E69">
            <w:pPr>
              <w:spacing w:after="120" w:line="259" w:lineRule="auto"/>
              <w:jc w:val="left"/>
              <w:rPr>
                <w:rFonts w:eastAsia="SimSun" w:cs="Arial"/>
                <w:color w:val="auto"/>
                <w:szCs w:val="22"/>
                <w:lang w:eastAsia="ja-JP"/>
              </w:rPr>
            </w:pPr>
          </w:p>
        </w:tc>
        <w:tc>
          <w:tcPr>
            <w:tcW w:w="255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2969" w:type="dxa"/>
            <w:shd w:val="clear" w:color="auto" w:fill="auto"/>
          </w:tcPr>
          <w:p w:rsidR="00C42E69" w:rsidRPr="00C42E69" w:rsidRDefault="00C42E69" w:rsidP="00C42E69">
            <w:pPr>
              <w:spacing w:after="120" w:line="259" w:lineRule="auto"/>
              <w:jc w:val="left"/>
              <w:rPr>
                <w:rFonts w:eastAsia="SimSun" w:cs="Arial"/>
                <w:color w:val="auto"/>
                <w:szCs w:val="22"/>
                <w:lang w:eastAsia="ja-JP"/>
              </w:rPr>
            </w:pPr>
          </w:p>
          <w:p w:rsidR="00C42E69" w:rsidRPr="00C42E69" w:rsidRDefault="00C42E69" w:rsidP="00C42E69">
            <w:pPr>
              <w:spacing w:after="160" w:line="259" w:lineRule="auto"/>
              <w:jc w:val="left"/>
              <w:rPr>
                <w:rFonts w:eastAsia="SimSun" w:cs="Arial"/>
                <w:color w:val="auto"/>
                <w:szCs w:val="22"/>
                <w:lang w:eastAsia="ja-JP"/>
              </w:rPr>
            </w:pPr>
            <w:r w:rsidRPr="00C42E69">
              <w:rPr>
                <w:rFonts w:eastAsia="SimSun" w:cs="Arial"/>
                <w:color w:val="auto"/>
                <w:szCs w:val="22"/>
                <w:lang w:eastAsia="ja-JP"/>
              </w:rPr>
              <w:t xml:space="preserve"> </w:t>
            </w:r>
          </w:p>
        </w:tc>
        <w:tc>
          <w:tcPr>
            <w:tcW w:w="1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55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2969" w:type="dxa"/>
            <w:shd w:val="clear" w:color="auto" w:fill="D9D9D9"/>
          </w:tcPr>
          <w:p w:rsidR="00C42E69" w:rsidRPr="00C42E69" w:rsidRDefault="00C42E69" w:rsidP="00C42E69">
            <w:pPr>
              <w:spacing w:after="120" w:line="259" w:lineRule="auto"/>
              <w:jc w:val="center"/>
              <w:rPr>
                <w:rFonts w:eastAsia="SimSun" w:cs="Arial"/>
                <w:color w:val="auto"/>
                <w:szCs w:val="22"/>
                <w:lang w:eastAsia="ja-JP"/>
              </w:rPr>
            </w:pPr>
            <w:r w:rsidRPr="00C42E69">
              <w:rPr>
                <w:rFonts w:eastAsia="SimSun" w:cs="Arial"/>
                <w:i/>
                <w:color w:val="auto"/>
                <w:sz w:val="18"/>
                <w:szCs w:val="18"/>
                <w:lang w:eastAsia="ja-JP"/>
              </w:rPr>
              <w:t>[...]</w:t>
            </w:r>
          </w:p>
        </w:tc>
        <w:tc>
          <w:tcPr>
            <w:tcW w:w="1418" w:type="dxa"/>
            <w:shd w:val="clear" w:color="auto" w:fill="D9D9D9"/>
          </w:tcPr>
          <w:p w:rsidR="00C42E69" w:rsidRPr="00C42E69" w:rsidRDefault="00C42E69" w:rsidP="00C42E69">
            <w:pPr>
              <w:spacing w:after="160" w:line="259" w:lineRule="auto"/>
              <w:jc w:val="center"/>
              <w:rPr>
                <w:rFonts w:eastAsia="SimSun" w:cs="Arial"/>
                <w:color w:val="auto"/>
                <w:szCs w:val="22"/>
                <w:lang w:eastAsia="ja-JP"/>
              </w:rPr>
            </w:pPr>
          </w:p>
        </w:tc>
        <w:tc>
          <w:tcPr>
            <w:tcW w:w="2409" w:type="dxa"/>
            <w:shd w:val="clear" w:color="auto" w:fill="D9D9D9"/>
          </w:tcPr>
          <w:p w:rsidR="00C42E69" w:rsidRPr="00C42E69" w:rsidRDefault="00C42E69" w:rsidP="00C42E69">
            <w:pPr>
              <w:spacing w:after="160" w:line="259" w:lineRule="auto"/>
              <w:jc w:val="center"/>
              <w:rPr>
                <w:rFonts w:eastAsia="SimSun" w:cs="Arial"/>
                <w:color w:val="auto"/>
                <w:szCs w:val="22"/>
                <w:lang w:eastAsia="ja-JP"/>
              </w:rPr>
            </w:pPr>
          </w:p>
        </w:tc>
        <w:tc>
          <w:tcPr>
            <w:tcW w:w="2552" w:type="dxa"/>
            <w:shd w:val="clear" w:color="auto" w:fill="D9D9D9"/>
          </w:tcPr>
          <w:p w:rsidR="00C42E69" w:rsidRPr="00C42E69" w:rsidRDefault="00C42E69" w:rsidP="00C42E69">
            <w:pPr>
              <w:spacing w:after="160" w:line="259" w:lineRule="auto"/>
              <w:jc w:val="center"/>
              <w:rPr>
                <w:rFonts w:eastAsia="SimSun" w:cs="Arial"/>
                <w:color w:val="auto"/>
                <w:szCs w:val="22"/>
                <w:lang w:eastAsia="ja-JP"/>
              </w:rPr>
            </w:pPr>
          </w:p>
        </w:tc>
      </w:tr>
    </w:tbl>
    <w:p w:rsidR="00C42E69" w:rsidRPr="00C42E69" w:rsidRDefault="00C42E69" w:rsidP="00C42E69"/>
    <w:p w:rsidR="00C42E69" w:rsidRDefault="00C42E69" w:rsidP="00C42E69"/>
    <w:p w:rsidR="00C42E69" w:rsidRPr="004268D5" w:rsidRDefault="00C42E69" w:rsidP="00C42E69">
      <w:pPr>
        <w:pStyle w:val="1"/>
      </w:pPr>
      <w:bookmarkStart w:id="4" w:name="_Toc27574756"/>
      <w:r w:rsidRPr="004268D5">
        <w:t>B.</w:t>
      </w:r>
      <w:r w:rsidRPr="004268D5">
        <w:tab/>
        <w:t>Mobility numbers</w:t>
      </w:r>
      <w:r w:rsidRPr="004268D5">
        <w:rPr>
          <w:rStyle w:val="af"/>
          <w:b w:val="0"/>
        </w:rPr>
        <w:footnoteReference w:id="7"/>
      </w:r>
      <w:r w:rsidRPr="004268D5">
        <w:t xml:space="preserve"> per academic year</w:t>
      </w:r>
      <w:bookmarkEnd w:id="4"/>
    </w:p>
    <w:p w:rsidR="00C42E69" w:rsidRDefault="00C42E69" w:rsidP="00C42E69"/>
    <w:p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242"/>
        <w:gridCol w:w="1276"/>
        <w:gridCol w:w="1134"/>
        <w:gridCol w:w="1160"/>
        <w:gridCol w:w="1134"/>
        <w:gridCol w:w="1701"/>
        <w:gridCol w:w="1533"/>
      </w:tblGrid>
      <w:tr w:rsidR="00C42E69" w:rsidRPr="00C42E69" w:rsidTr="005A1432">
        <w:trPr>
          <w:trHeight w:val="465"/>
        </w:trPr>
        <w:tc>
          <w:tcPr>
            <w:tcW w:w="1242"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rsidR="00C42E69" w:rsidRPr="00C42E69" w:rsidRDefault="00C42E69" w:rsidP="00C42E69">
            <w:pPr>
              <w:spacing w:after="160" w:line="259" w:lineRule="auto"/>
              <w:jc w:val="center"/>
              <w:rPr>
                <w:rFonts w:eastAsia="SimSun" w:cs="Arial"/>
                <w:b/>
                <w:bCs/>
                <w:i/>
                <w:color w:val="FFFFFF"/>
                <w:szCs w:val="22"/>
                <w:lang w:eastAsia="ja-JP"/>
              </w:rPr>
            </w:pPr>
          </w:p>
          <w:p w:rsidR="00C42E69" w:rsidRPr="00C42E69" w:rsidRDefault="00C42E69" w:rsidP="00C42E69">
            <w:pPr>
              <w:spacing w:after="160" w:line="259" w:lineRule="auto"/>
              <w:jc w:val="center"/>
              <w:rPr>
                <w:rFonts w:eastAsia="SimSun" w:cs="Arial"/>
                <w:b/>
                <w:bCs/>
                <w:i/>
                <w:color w:val="FFFFFF"/>
                <w:szCs w:val="22"/>
                <w:lang w:eastAsia="ja-JP"/>
              </w:rPr>
            </w:pPr>
          </w:p>
        </w:tc>
        <w:tc>
          <w:tcPr>
            <w:tcW w:w="1160"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rsidTr="005A1432">
        <w:trPr>
          <w:trHeight w:val="1648"/>
        </w:trPr>
        <w:tc>
          <w:tcPr>
            <w:tcW w:w="1242"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160" w:type="dxa"/>
            <w:vMerge/>
            <w:shd w:val="clear" w:color="auto" w:fill="263673"/>
          </w:tcPr>
          <w:p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C42E69" w:rsidRPr="00C42E69" w:rsidTr="005A1432">
        <w:trPr>
          <w:trHeight w:val="480"/>
        </w:trPr>
        <w:tc>
          <w:tcPr>
            <w:tcW w:w="1242"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242"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242"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242"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rsidR="00E14EB6" w:rsidRDefault="00E14EB6" w:rsidP="00C42E69">
      <w:pPr>
        <w:rPr>
          <w:i/>
          <w:sz w:val="18"/>
          <w:szCs w:val="18"/>
        </w:rPr>
      </w:pPr>
    </w:p>
    <w:p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1384"/>
        <w:gridCol w:w="1418"/>
        <w:gridCol w:w="1159"/>
        <w:gridCol w:w="1276"/>
        <w:gridCol w:w="2101"/>
        <w:gridCol w:w="1842"/>
      </w:tblGrid>
      <w:tr w:rsidR="00C42E69" w:rsidRPr="00C42E69" w:rsidTr="005A1432">
        <w:trPr>
          <w:trHeight w:val="465"/>
        </w:trPr>
        <w:tc>
          <w:tcPr>
            <w:tcW w:w="1384"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bookmarkStart w:id="5" w:name="_GoBack"/>
            <w:r w:rsidRPr="00C42E69">
              <w:rPr>
                <w:rFonts w:eastAsia="SimSun" w:cs="Arial"/>
                <w:b/>
                <w:bCs/>
                <w:color w:val="FFFFFF"/>
                <w:szCs w:val="22"/>
                <w:lang w:eastAsia="ja-JP"/>
              </w:rPr>
              <w:lastRenderedPageBreak/>
              <w:t>FROM</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bookmarkEnd w:id="5"/>
      <w:tr w:rsidR="00C42E69" w:rsidRPr="00C42E69" w:rsidTr="005A1432">
        <w:trPr>
          <w:trHeight w:val="1338"/>
        </w:trPr>
        <w:tc>
          <w:tcPr>
            <w:tcW w:w="1384"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C42E69" w:rsidRPr="00C42E69" w:rsidTr="005A1432">
        <w:trPr>
          <w:trHeight w:val="480"/>
        </w:trPr>
        <w:tc>
          <w:tcPr>
            <w:tcW w:w="1384"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384"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384"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80"/>
        </w:trPr>
        <w:tc>
          <w:tcPr>
            <w:tcW w:w="1384"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87550C" w:rsidRDefault="00C42E69" w:rsidP="00C42E69">
      <w:pPr>
        <w:pStyle w:val="1"/>
      </w:pPr>
      <w:bookmarkStart w:id="6" w:name="_Toc27574757"/>
      <w:r w:rsidRPr="0087550C">
        <w:t>C.</w:t>
      </w:r>
      <w:r w:rsidRPr="0087550C">
        <w:tab/>
        <w:t>Recommended language skills</w:t>
      </w:r>
      <w:bookmarkEnd w:id="6"/>
    </w:p>
    <w:p w:rsidR="00C42E69" w:rsidRDefault="00C42E69" w:rsidP="00C42E69"/>
    <w:p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378"/>
        <w:gridCol w:w="1468"/>
        <w:gridCol w:w="1309"/>
        <w:gridCol w:w="1309"/>
        <w:gridCol w:w="1899"/>
        <w:gridCol w:w="1985"/>
      </w:tblGrid>
      <w:tr w:rsidR="00C42E69" w:rsidRPr="00C42E69" w:rsidTr="005A1432">
        <w:tc>
          <w:tcPr>
            <w:tcW w:w="1378"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rsidTr="005A1432">
        <w:tc>
          <w:tcPr>
            <w:tcW w:w="1378"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rsidTr="005A1432">
        <w:tc>
          <w:tcPr>
            <w:tcW w:w="137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137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Pr>
        <w:rPr>
          <w:lang w:val="en-US"/>
        </w:rPr>
      </w:pPr>
    </w:p>
    <w:p w:rsidR="00C42E69" w:rsidRDefault="00C42E69" w:rsidP="00C42E69">
      <w:pPr>
        <w:spacing w:after="360"/>
        <w:rPr>
          <w:i/>
        </w:rPr>
      </w:pPr>
      <w:r w:rsidRPr="00641F44">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rsidR="00C42E69" w:rsidRPr="004268D5" w:rsidRDefault="00C42E69" w:rsidP="00C42E69">
      <w:pPr>
        <w:pStyle w:val="1"/>
      </w:pPr>
      <w:bookmarkStart w:id="7" w:name="_Toc27574758"/>
      <w:r w:rsidRPr="004268D5">
        <w:t>D.</w:t>
      </w:r>
      <w:r w:rsidRPr="004268D5">
        <w:tab/>
        <w:t>Respect of fundamental principles and other mobility requirements</w:t>
      </w:r>
      <w:bookmarkEnd w:id="7"/>
    </w:p>
    <w:p w:rsidR="00C42E69" w:rsidRDefault="00C42E69" w:rsidP="00C42E69"/>
    <w:p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18" w:history="1">
        <w:r w:rsidRPr="00115919">
          <w:rPr>
            <w:rStyle w:val="-"/>
            <w:rFonts w:eastAsia="Verdana" w:cs="Verdana"/>
            <w:szCs w:val="20"/>
          </w:rPr>
          <w:t>https://eacea.ec.europa.eu/erasmus-plus/actions/erasmus-charter_en</w:t>
        </w:r>
      </w:hyperlink>
      <w:r>
        <w:rPr>
          <w:rFonts w:eastAsia="Verdana" w:cs="Verdana"/>
          <w:szCs w:val="20"/>
        </w:rPr>
        <w:t>.</w:t>
      </w:r>
    </w:p>
    <w:p w:rsidR="00C42E69" w:rsidRDefault="00C42E69" w:rsidP="00C42E69">
      <w:pPr>
        <w:rPr>
          <w:rFonts w:eastAsia="Verdana" w:cs="Verdana"/>
          <w:szCs w:val="20"/>
        </w:rPr>
      </w:pPr>
    </w:p>
    <w:p w:rsidR="00C42E69" w:rsidRDefault="00C42E69" w:rsidP="00C42E69">
      <w:pPr>
        <w:rPr>
          <w:rFonts w:eastAsia="Verdana" w:cs="Verdana"/>
          <w:szCs w:val="20"/>
        </w:rPr>
      </w:pPr>
      <w:r>
        <w:rPr>
          <w:rFonts w:eastAsia="Verdana" w:cs="Verdana"/>
          <w:szCs w:val="20"/>
        </w:rPr>
        <w:lastRenderedPageBreak/>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rsidR="00C42E69" w:rsidRDefault="00C42E69" w:rsidP="00C42E69">
      <w:pPr>
        <w:rPr>
          <w:rFonts w:eastAsia="Verdana" w:cs="Verdana"/>
          <w:szCs w:val="20"/>
        </w:rPr>
      </w:pPr>
    </w:p>
    <w:p w:rsidR="00C42E69" w:rsidRDefault="00C42E69" w:rsidP="00C42E69">
      <w:pPr>
        <w:rPr>
          <w:rFonts w:eastAsia="Verdana" w:cs="Verdana"/>
          <w:szCs w:val="20"/>
        </w:rPr>
      </w:pPr>
      <w:r>
        <w:rPr>
          <w:rFonts w:eastAsia="Verdana" w:cs="Verdana"/>
          <w:szCs w:val="20"/>
        </w:rPr>
        <w:t>The higher education institution agrees to:</w:t>
      </w:r>
    </w:p>
    <w:p w:rsidR="00C42E69" w:rsidRDefault="00C42E69" w:rsidP="00C42E69">
      <w:pPr>
        <w:rPr>
          <w:rFonts w:eastAsia="Verdana" w:cs="Verdana"/>
          <w:szCs w:val="20"/>
        </w:rPr>
      </w:pPr>
    </w:p>
    <w:p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rsidR="00C42E69" w:rsidRDefault="00C42E69" w:rsidP="00C42E69">
      <w:pPr>
        <w:pStyle w:val="a0"/>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rsidR="00C42E69" w:rsidRPr="00C42E69" w:rsidRDefault="00C42E69" w:rsidP="00C42E69">
      <w:pPr>
        <w:pStyle w:val="a0"/>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rsidR="00C42E69" w:rsidRDefault="00C42E69" w:rsidP="00C42E69">
      <w:pPr>
        <w:pStyle w:val="a0"/>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rsidR="00C42E69" w:rsidRDefault="00C42E69" w:rsidP="00C42E69">
      <w:pPr>
        <w:pStyle w:val="21"/>
        <w:rPr>
          <w:rFonts w:eastAsia="Verdana"/>
        </w:rPr>
      </w:pPr>
      <w:bookmarkStart w:id="8" w:name="_Toc27574759"/>
      <w:r w:rsidRPr="00C42E69">
        <w:rPr>
          <w:rFonts w:eastAsia="Verdana"/>
        </w:rPr>
        <w:t>Before mobility</w:t>
      </w:r>
      <w:bookmarkEnd w:id="8"/>
    </w:p>
    <w:p w:rsidR="00C42E69" w:rsidRPr="00C42E69" w:rsidRDefault="00C42E69" w:rsidP="00C42E69">
      <w:pPr>
        <w:pStyle w:val="a2"/>
        <w:rPr>
          <w:rFonts w:eastAsia="Verdana"/>
        </w:rPr>
      </w:pPr>
    </w:p>
    <w:p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rsidR="00C42E69" w:rsidRDefault="00C42E69" w:rsidP="00C42E69">
      <w:pPr>
        <w:pStyle w:val="a0"/>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C42E69" w:rsidRDefault="00C42E69" w:rsidP="00C42E69">
      <w:pPr>
        <w:pStyle w:val="a0"/>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rsidR="000521A5" w:rsidRPr="000521A5" w:rsidRDefault="000521A5" w:rsidP="000521A5">
      <w:pPr>
        <w:pStyle w:val="a2"/>
        <w:rPr>
          <w:rFonts w:eastAsia="Verdana"/>
        </w:rPr>
      </w:pPr>
    </w:p>
    <w:p w:rsidR="00C42E69" w:rsidRDefault="00C42E69" w:rsidP="00C42E69">
      <w:pPr>
        <w:pStyle w:val="21"/>
        <w:rPr>
          <w:rFonts w:eastAsia="Verdana"/>
        </w:rPr>
      </w:pPr>
      <w:bookmarkStart w:id="9" w:name="_Toc27574760"/>
      <w:r w:rsidRPr="00C42E69">
        <w:rPr>
          <w:rFonts w:eastAsia="Verdana"/>
        </w:rPr>
        <w:t>During and after mobility</w:t>
      </w:r>
      <w:bookmarkEnd w:id="9"/>
    </w:p>
    <w:p w:rsidR="00C42E69" w:rsidRPr="00C42E69" w:rsidRDefault="00C42E69" w:rsidP="00C42E69">
      <w:pPr>
        <w:pStyle w:val="a2"/>
        <w:rPr>
          <w:rFonts w:eastAsia="Verdana"/>
        </w:rPr>
      </w:pPr>
    </w:p>
    <w:p w:rsidR="00C42E69" w:rsidRPr="00C42E69" w:rsidRDefault="00C42E69" w:rsidP="00C42E69">
      <w:pPr>
        <w:pStyle w:val="a0"/>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 xml:space="preserve">s everyday life, and have in place appropriate mentoring and support </w:t>
      </w:r>
      <w:r>
        <w:rPr>
          <w:szCs w:val="20"/>
        </w:rPr>
        <w:lastRenderedPageBreak/>
        <w:t>arrangements for mobile participants as well as appropriate linguistic support to incoming mobile participants.</w:t>
      </w:r>
    </w:p>
    <w:p w:rsidR="00C42E69" w:rsidRDefault="00C42E69" w:rsidP="00C42E69">
      <w:pPr>
        <w:pStyle w:val="a0"/>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staff </w:t>
      </w:r>
      <w:r>
        <w:rPr>
          <w:rFonts w:eastAsia="Arial Unicode MS" w:cs="Verdana"/>
          <w:szCs w:val="20"/>
        </w:rPr>
        <w:t>are</w:t>
      </w:r>
      <w:r w:rsidRPr="00312D48">
        <w:rPr>
          <w:rFonts w:eastAsia="Arial Unicode MS" w:cs="Verdana"/>
          <w:szCs w:val="20"/>
        </w:rPr>
        <w:t xml:space="preserve"> 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rsidR="00C42E69" w:rsidRDefault="00C42E69" w:rsidP="00C42E69"/>
    <w:p w:rsidR="00C42E69" w:rsidRPr="004268D5" w:rsidRDefault="00C42E69" w:rsidP="00C42E69">
      <w:pPr>
        <w:pStyle w:val="1"/>
      </w:pPr>
      <w:bookmarkStart w:id="10" w:name="_Toc27574761"/>
      <w:r w:rsidRPr="004268D5">
        <w:t xml:space="preserve">E. </w:t>
      </w:r>
      <w:r w:rsidRPr="004268D5">
        <w:tab/>
        <w:t>Additional requirements</w:t>
      </w:r>
      <w:bookmarkEnd w:id="10"/>
    </w:p>
    <w:p w:rsidR="00C42E69" w:rsidRDefault="00C42E69" w:rsidP="00C42E69"/>
    <w:p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rsidR="00C42E69" w:rsidRDefault="00C42E69" w:rsidP="00C42E69">
      <w:pPr>
        <w:rPr>
          <w:i/>
        </w:rPr>
      </w:pPr>
    </w:p>
    <w:p w:rsidR="00C42E69" w:rsidRPr="00E9496A" w:rsidRDefault="00C42E69" w:rsidP="00C42E69">
      <w:pPr>
        <w:spacing w:after="360"/>
        <w:rPr>
          <w:i/>
        </w:rPr>
      </w:pPr>
      <w:r w:rsidRPr="00E9496A">
        <w:rPr>
          <w:i/>
        </w:rPr>
        <w:t>[Please specify whether the institutions have the infrastructure to welcome students and staff with disabilities.]</w:t>
      </w:r>
    </w:p>
    <w:p w:rsidR="00C42E69" w:rsidRPr="004268D5" w:rsidRDefault="00C42E69" w:rsidP="00C42E69">
      <w:pPr>
        <w:pStyle w:val="1"/>
      </w:pPr>
      <w:bookmarkStart w:id="11" w:name="_Toc27574762"/>
      <w:r w:rsidRPr="004268D5">
        <w:t>F.</w:t>
      </w:r>
      <w:r w:rsidRPr="004268D5">
        <w:tab/>
        <w:t>Calendar</w:t>
      </w:r>
      <w:bookmarkEnd w:id="11"/>
    </w:p>
    <w:p w:rsidR="00C42E69" w:rsidRDefault="00C42E69" w:rsidP="00C42E69"/>
    <w:p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962"/>
        <w:gridCol w:w="2894"/>
        <w:gridCol w:w="2977"/>
      </w:tblGrid>
      <w:tr w:rsidR="00C42E69" w:rsidRPr="00C42E69" w:rsidTr="005A1432">
        <w:tc>
          <w:tcPr>
            <w:tcW w:w="2962"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2E69" w:rsidRPr="00C42E69" w:rsidTr="005A1432">
        <w:tc>
          <w:tcPr>
            <w:tcW w:w="296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c>
          <w:tcPr>
            <w:tcW w:w="296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Default="00C42E69" w:rsidP="00C42E69">
      <w:pPr>
        <w:spacing w:before="120" w:after="360"/>
        <w:ind w:left="425"/>
        <w:rPr>
          <w:i/>
        </w:rPr>
      </w:pPr>
      <w:r w:rsidRPr="0004347D">
        <w:rPr>
          <w:i/>
        </w:rPr>
        <w:t>[* to be adapted in case of a trimester system]</w:t>
      </w:r>
    </w:p>
    <w:p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[x] weeks.</w:t>
      </w:r>
    </w:p>
    <w:p w:rsidR="00C42E69" w:rsidRPr="00E46AF7" w:rsidRDefault="00C42E69" w:rsidP="00C42E69">
      <w:pPr>
        <w:spacing w:after="120"/>
        <w:ind w:left="709" w:hanging="284"/>
        <w:rPr>
          <w:i/>
        </w:rPr>
      </w:pPr>
      <w:r>
        <w:t>3.</w:t>
      </w:r>
      <w:r>
        <w:tab/>
      </w:r>
      <w:r w:rsidRPr="00641F44">
        <w:t xml:space="preserve">A Transcript of Records will be issued by the receiving institution no later than [xx]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rsidR="00C42E69" w:rsidRPr="00641F44" w:rsidRDefault="00C42E69" w:rsidP="00C42E69">
      <w:pPr>
        <w:spacing w:after="120"/>
        <w:ind w:left="709" w:hanging="284"/>
      </w:pPr>
      <w:r>
        <w:t>4.</w:t>
      </w:r>
      <w:r>
        <w:tab/>
      </w:r>
      <w:r w:rsidRPr="00641F44">
        <w:t xml:space="preserve">Termination of the agreement </w:t>
      </w:r>
    </w:p>
    <w:p w:rsidR="00C42E69" w:rsidRDefault="00C42E69" w:rsidP="00C42E69">
      <w:pPr>
        <w:spacing w:after="360"/>
        <w:ind w:left="709"/>
        <w:rPr>
          <w:i/>
        </w:rPr>
      </w:pPr>
      <w:r w:rsidRPr="00E46AF7">
        <w:rPr>
          <w:i/>
          <w:color w:val="000000"/>
        </w:rPr>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w:t>
      </w:r>
      <w:r w:rsidRPr="00E46AF7">
        <w:rPr>
          <w:i/>
        </w:rPr>
        <w:lastRenderedPageBreak/>
        <w:t xml:space="preserve">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rsidR="00C42E69" w:rsidRPr="004268D5" w:rsidRDefault="00C42E69" w:rsidP="00C42E69">
      <w:pPr>
        <w:pStyle w:val="1"/>
      </w:pPr>
      <w:bookmarkStart w:id="12" w:name="_Toc27574763"/>
      <w:r w:rsidRPr="004268D5">
        <w:t>G.</w:t>
      </w:r>
      <w:r w:rsidRPr="004268D5">
        <w:tab/>
        <w:t>Information</w:t>
      </w:r>
      <w:bookmarkEnd w:id="12"/>
    </w:p>
    <w:p w:rsidR="00C42E69" w:rsidRDefault="00C42E69" w:rsidP="00C42E69"/>
    <w:p w:rsidR="00C42E69" w:rsidRPr="004268D5" w:rsidRDefault="00C42E69" w:rsidP="00C42E69">
      <w:pPr>
        <w:pStyle w:val="21"/>
      </w:pPr>
      <w:bookmarkStart w:id="13" w:name="_Toc27574764"/>
      <w:r w:rsidRPr="004268D5">
        <w:t>1.</w:t>
      </w:r>
      <w:r w:rsidRPr="004268D5">
        <w:tab/>
        <w:t>Grading systems of the institutions</w:t>
      </w:r>
      <w:bookmarkEnd w:id="13"/>
    </w:p>
    <w:p w:rsidR="00C42E69" w:rsidRDefault="00C42E69" w:rsidP="00C42E69"/>
    <w:p w:rsidR="00C42E69" w:rsidRDefault="00C42E69" w:rsidP="00C42E69">
      <w:pPr>
        <w:rPr>
          <w:i/>
        </w:rPr>
      </w:pPr>
      <w:r>
        <w:rPr>
          <w:i/>
        </w:rPr>
        <w:t>[It is recommended that receiving institutions provide the statistical distribution of grades according to the descriptions in the ECTS users’ guide</w:t>
      </w:r>
      <w:r>
        <w:rPr>
          <w:rStyle w:val="af"/>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rsidR="00C42E69" w:rsidRDefault="00C42E69" w:rsidP="00C42E69">
      <w:pPr>
        <w:rPr>
          <w:i/>
        </w:rPr>
      </w:pPr>
    </w:p>
    <w:p w:rsidR="00C42E69" w:rsidRPr="004268D5" w:rsidRDefault="00C42E69" w:rsidP="00C42E69">
      <w:pPr>
        <w:pStyle w:val="21"/>
      </w:pPr>
      <w:bookmarkStart w:id="14" w:name="_Toc27574765"/>
      <w:r w:rsidRPr="004268D5">
        <w:t>2.</w:t>
      </w:r>
      <w:r w:rsidRPr="004268D5">
        <w:tab/>
        <w:t>Visa</w:t>
      </w:r>
      <w:bookmarkEnd w:id="14"/>
    </w:p>
    <w:p w:rsidR="00C42E69" w:rsidRDefault="00C42E69" w:rsidP="00C42E69"/>
    <w:p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3191"/>
        <w:gridCol w:w="2381"/>
        <w:gridCol w:w="2424"/>
      </w:tblGrid>
      <w:tr w:rsidR="00C42E69" w:rsidRPr="00C42E69" w:rsidTr="005A1432">
        <w:trPr>
          <w:trHeight w:val="663"/>
        </w:trPr>
        <w:tc>
          <w:tcPr>
            <w:tcW w:w="3191"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rsidTr="005A1432">
        <w:trPr>
          <w:trHeight w:val="442"/>
        </w:trPr>
        <w:tc>
          <w:tcPr>
            <w:tcW w:w="319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42"/>
        </w:trPr>
        <w:tc>
          <w:tcPr>
            <w:tcW w:w="319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4268D5" w:rsidRDefault="00C42E69" w:rsidP="00C42E69">
      <w:pPr>
        <w:pStyle w:val="21"/>
      </w:pPr>
      <w:bookmarkStart w:id="15" w:name="_Toc27574766"/>
      <w:r w:rsidRPr="004268D5">
        <w:t>3.</w:t>
      </w:r>
      <w:r w:rsidRPr="004268D5">
        <w:tab/>
        <w:t>Insurance</w:t>
      </w:r>
      <w:bookmarkEnd w:id="15"/>
    </w:p>
    <w:p w:rsidR="00C42E69" w:rsidRDefault="00C42E69" w:rsidP="00C42E69"/>
    <w:p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3106"/>
        <w:gridCol w:w="2375"/>
        <w:gridCol w:w="2418"/>
      </w:tblGrid>
      <w:tr w:rsidR="00C42E69" w:rsidRPr="00C42E69" w:rsidTr="005A1432">
        <w:trPr>
          <w:trHeight w:val="634"/>
        </w:trPr>
        <w:tc>
          <w:tcPr>
            <w:tcW w:w="3106"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rsidTr="005A1432">
        <w:trPr>
          <w:trHeight w:val="422"/>
        </w:trPr>
        <w:tc>
          <w:tcPr>
            <w:tcW w:w="310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22"/>
        </w:trPr>
        <w:tc>
          <w:tcPr>
            <w:tcW w:w="3106"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4268D5" w:rsidRDefault="00C42E69" w:rsidP="00C42E69">
      <w:pPr>
        <w:pStyle w:val="21"/>
      </w:pPr>
      <w:bookmarkStart w:id="16" w:name="_Toc27574767"/>
      <w:r w:rsidRPr="004268D5">
        <w:t>4.</w:t>
      </w:r>
      <w:r w:rsidRPr="004268D5">
        <w:tab/>
        <w:t>Housing</w:t>
      </w:r>
      <w:bookmarkEnd w:id="16"/>
    </w:p>
    <w:p w:rsidR="00C42E69" w:rsidRDefault="00C42E69" w:rsidP="00C42E69"/>
    <w:p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3122"/>
        <w:gridCol w:w="2398"/>
        <w:gridCol w:w="2441"/>
      </w:tblGrid>
      <w:tr w:rsidR="00C42E69" w:rsidRPr="00C42E69" w:rsidTr="005A1432">
        <w:trPr>
          <w:trHeight w:val="682"/>
        </w:trPr>
        <w:tc>
          <w:tcPr>
            <w:tcW w:w="3122"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rsidTr="005A1432">
        <w:trPr>
          <w:trHeight w:val="454"/>
        </w:trPr>
        <w:tc>
          <w:tcPr>
            <w:tcW w:w="312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54"/>
        </w:trPr>
        <w:tc>
          <w:tcPr>
            <w:tcW w:w="3122"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Default="00C42E69" w:rsidP="00C42E69"/>
    <w:p w:rsidR="00C42E69" w:rsidRPr="004268D5" w:rsidRDefault="00E14EB6" w:rsidP="000521A5">
      <w:pPr>
        <w:pStyle w:val="1"/>
      </w:pPr>
      <w:bookmarkStart w:id="17" w:name="_Toc27574768"/>
      <w:r>
        <w:t>H</w:t>
      </w:r>
      <w:r w:rsidR="00C42E69" w:rsidRPr="004268D5">
        <w:t>.</w:t>
      </w:r>
      <w:r w:rsidR="00C42E69" w:rsidRPr="004268D5">
        <w:tab/>
      </w:r>
      <w:r w:rsidR="00C42E69">
        <w:t>Signatures of the institutions</w:t>
      </w:r>
      <w:r w:rsidR="00C42E69" w:rsidRPr="004268D5">
        <w:t xml:space="preserve"> (legal representatives)</w:t>
      </w:r>
      <w:bookmarkEnd w:id="17"/>
    </w:p>
    <w:p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1811"/>
        <w:gridCol w:w="2725"/>
        <w:gridCol w:w="1185"/>
        <w:gridCol w:w="2324"/>
      </w:tblGrid>
      <w:tr w:rsidR="00C42E69" w:rsidRPr="00C42E69" w:rsidTr="005A1432">
        <w:trPr>
          <w:trHeight w:val="807"/>
        </w:trPr>
        <w:tc>
          <w:tcPr>
            <w:tcW w:w="1811" w:type="dxa"/>
            <w:shd w:val="clear" w:color="auto" w:fill="263673"/>
          </w:tcPr>
          <w:p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rsidTr="005A1432">
        <w:trPr>
          <w:trHeight w:val="445"/>
        </w:trPr>
        <w:tc>
          <w:tcPr>
            <w:tcW w:w="181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r w:rsidR="00C42E69" w:rsidRPr="00C42E69" w:rsidTr="005A1432">
        <w:trPr>
          <w:trHeight w:val="445"/>
        </w:trPr>
        <w:tc>
          <w:tcPr>
            <w:tcW w:w="1811"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rsidR="00C42E69" w:rsidRPr="00C42E69" w:rsidRDefault="00C42E69" w:rsidP="00C42E69">
            <w:pPr>
              <w:spacing w:after="160" w:line="259" w:lineRule="auto"/>
              <w:jc w:val="left"/>
              <w:rPr>
                <w:rFonts w:eastAsia="SimSun" w:cs="Arial"/>
                <w:color w:val="auto"/>
                <w:szCs w:val="22"/>
                <w:lang w:eastAsia="ja-JP"/>
              </w:rPr>
            </w:pPr>
          </w:p>
        </w:tc>
      </w:tr>
    </w:tbl>
    <w:p w:rsidR="00C42E69" w:rsidRPr="00C42E69" w:rsidRDefault="00C42E69" w:rsidP="00C42E69"/>
    <w:bookmarkEnd w:id="1"/>
    <w:bookmarkEnd w:id="2"/>
    <w:bookmarkEnd w:id="3"/>
    <w:p w:rsidR="00CE1343" w:rsidRDefault="00CE1343"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pPr>
    </w:p>
    <w:p w:rsidR="007719D2" w:rsidRDefault="007719D2" w:rsidP="00003AD6">
      <w:pPr>
        <w:pStyle w:val="StyleBodyTextAfter0pt"/>
        <w:sectPr w:rsidR="007719D2" w:rsidSect="003B1F7D">
          <w:headerReference w:type="even" r:id="rId19"/>
          <w:headerReference w:type="default" r:id="rId20"/>
          <w:footerReference w:type="even" r:id="rId21"/>
          <w:footerReference w:type="default" r:id="rId22"/>
          <w:headerReference w:type="first" r:id="rId23"/>
          <w:footerReference w:type="first" r:id="rId24"/>
          <w:pgSz w:w="11906" w:h="16838" w:code="9"/>
          <w:pgMar w:top="1985" w:right="1418" w:bottom="1418" w:left="1418" w:header="709" w:footer="709" w:gutter="0"/>
          <w:pgNumType w:start="2"/>
          <w:cols w:space="708"/>
          <w:titlePg/>
          <w:docGrid w:linePitch="360"/>
        </w:sectPr>
      </w:pPr>
    </w:p>
    <w:p w:rsidR="007719D2" w:rsidRPr="00F41261" w:rsidRDefault="007719D2" w:rsidP="007719D2">
      <w:pPr>
        <w:pStyle w:val="StyleBodyTextAfter0pt"/>
        <w:rPr>
          <w:rFonts w:ascii="Arial" w:hAnsi="Arial"/>
          <w:sz w:val="16"/>
        </w:rPr>
      </w:pPr>
    </w:p>
    <w:sectPr w:rsidR="007719D2" w:rsidRPr="00F41261" w:rsidSect="007719D2">
      <w:headerReference w:type="even" r:id="rId25"/>
      <w:headerReference w:type="default" r:id="rId26"/>
      <w:footerReference w:type="even" r:id="rId27"/>
      <w:pgSz w:w="11907" w:h="16840" w:code="9"/>
      <w:pgMar w:top="1134" w:right="851" w:bottom="1134" w:left="1418" w:header="0" w:footer="39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D26" w:rsidRPr="00D02D0C" w:rsidRDefault="00970D26">
      <w:r w:rsidRPr="00D02D0C">
        <w:separator/>
      </w:r>
    </w:p>
  </w:endnote>
  <w:endnote w:type="continuationSeparator" w:id="0">
    <w:p w:rsidR="00970D26" w:rsidRPr="00D02D0C" w:rsidRDefault="00970D26">
      <w:r w:rsidRPr="00D02D0C">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89" w:rsidRPr="00D02D0C" w:rsidRDefault="00FD439D" w:rsidP="004E4589">
    <w:pPr>
      <w:pStyle w:val="a8"/>
      <w:pBdr>
        <w:top w:val="single" w:sz="4" w:space="1" w:color="808080"/>
      </w:pBdr>
      <w:jc w:val="left"/>
      <w:rPr>
        <w:rStyle w:val="ab"/>
      </w:rPr>
    </w:pPr>
    <w:r w:rsidRPr="00D02D0C">
      <w:rPr>
        <w:rStyle w:val="ab"/>
      </w:rPr>
      <w:fldChar w:fldCharType="begin"/>
    </w:r>
    <w:r w:rsidR="004E4589" w:rsidRPr="00D02D0C">
      <w:rPr>
        <w:rStyle w:val="ab"/>
      </w:rPr>
      <w:instrText xml:space="preserve"> PAGE </w:instrText>
    </w:r>
    <w:r w:rsidRPr="00D02D0C">
      <w:rPr>
        <w:rStyle w:val="ab"/>
      </w:rPr>
      <w:fldChar w:fldCharType="separate"/>
    </w:r>
    <w:r w:rsidR="00865491">
      <w:rPr>
        <w:rStyle w:val="ab"/>
        <w:noProof/>
      </w:rPr>
      <w:t>8</w:t>
    </w:r>
    <w:r w:rsidRPr="00D02D0C">
      <w:rPr>
        <w:rStyle w:val="ab"/>
      </w:rPr>
      <w:fldChar w:fldCharType="end"/>
    </w:r>
  </w:p>
  <w:p w:rsidR="00CE1343" w:rsidRPr="00C80213" w:rsidRDefault="00C42E69" w:rsidP="00CE1343">
    <w:pPr>
      <w:pStyle w:val="a8"/>
      <w:jc w:val="right"/>
      <w:rPr>
        <w:rStyle w:val="ab"/>
        <w:color w:val="FF0000"/>
        <w:sz w:val="16"/>
      </w:rPr>
    </w:pPr>
    <w:r>
      <w:t>November 2019</w:t>
    </w:r>
  </w:p>
  <w:p w:rsidR="004E4589" w:rsidRDefault="004E4589" w:rsidP="00CE1343">
    <w:pPr>
      <w:pStyle w:val="a8"/>
      <w:tabs>
        <w:tab w:val="clear" w:pos="4153"/>
        <w:tab w:val="clear" w:pos="8306"/>
        <w:tab w:val="left" w:pos="6161"/>
      </w:tabs>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39364"/>
      <w:docPartObj>
        <w:docPartGallery w:val="Page Numbers (Bottom of Page)"/>
        <w:docPartUnique/>
      </w:docPartObj>
    </w:sdtPr>
    <w:sdtEndPr>
      <w:rPr>
        <w:noProof/>
      </w:rPr>
    </w:sdtEndPr>
    <w:sdtContent>
      <w:p w:rsidR="002D55F6" w:rsidRDefault="00FD439D">
        <w:pPr>
          <w:pStyle w:val="a8"/>
          <w:jc w:val="center"/>
        </w:pPr>
        <w:r>
          <w:fldChar w:fldCharType="begin"/>
        </w:r>
        <w:r w:rsidR="002D55F6">
          <w:instrText xml:space="preserve"> PAGE   \* MERGEFORMAT </w:instrText>
        </w:r>
        <w:r>
          <w:fldChar w:fldCharType="separate"/>
        </w:r>
        <w:r w:rsidR="006F6C44">
          <w:rPr>
            <w:noProof/>
          </w:rPr>
          <w:t>3</w:t>
        </w:r>
        <w:r>
          <w:rPr>
            <w:noProof/>
          </w:rPr>
          <w:fldChar w:fldCharType="end"/>
        </w:r>
      </w:p>
    </w:sdtContent>
  </w:sdt>
  <w:p w:rsidR="002D55F6" w:rsidRPr="00882829" w:rsidRDefault="002D55F6" w:rsidP="002D55F6">
    <w:pPr>
      <w:pStyle w:val="a8"/>
      <w:jc w:val="right"/>
      <w:rPr>
        <w:color w:val="BFBFBF" w:themeColor="background1" w:themeShade="BF"/>
      </w:rPr>
    </w:pPr>
    <w:r w:rsidRPr="00882829">
      <w:rPr>
        <w:color w:val="BFBFBF" w:themeColor="background1" w:themeShade="BF"/>
      </w:rPr>
      <w:t>November 2019</w:t>
    </w:r>
  </w:p>
  <w:p w:rsidR="009A260B" w:rsidRPr="007719D2" w:rsidRDefault="009A260B" w:rsidP="007719D2">
    <w:pPr>
      <w:pStyle w:val="a8"/>
      <w:rPr>
        <w:rStyle w:val="ab"/>
        <w:color w:val="808080"/>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46" w:rsidRPr="00D02D0C" w:rsidRDefault="00FD439D" w:rsidP="005B6DE8">
    <w:pPr>
      <w:pStyle w:val="a8"/>
      <w:pBdr>
        <w:top w:val="single" w:sz="4" w:space="1" w:color="808080"/>
      </w:pBdr>
      <w:jc w:val="left"/>
      <w:rPr>
        <w:rStyle w:val="ab"/>
      </w:rPr>
    </w:pPr>
    <w:r w:rsidRPr="00D02D0C">
      <w:rPr>
        <w:rStyle w:val="ab"/>
      </w:rPr>
      <w:fldChar w:fldCharType="begin"/>
    </w:r>
    <w:r w:rsidR="008A2746" w:rsidRPr="00D02D0C">
      <w:rPr>
        <w:rStyle w:val="ab"/>
      </w:rPr>
      <w:instrText xml:space="preserve"> PAGE </w:instrText>
    </w:r>
    <w:r w:rsidRPr="00D02D0C">
      <w:rPr>
        <w:rStyle w:val="ab"/>
      </w:rPr>
      <w:fldChar w:fldCharType="separate"/>
    </w:r>
    <w:r w:rsidR="006F6C44">
      <w:rPr>
        <w:rStyle w:val="ab"/>
        <w:noProof/>
      </w:rPr>
      <w:t>2</w:t>
    </w:r>
    <w:r w:rsidRPr="00D02D0C">
      <w:rPr>
        <w:rStyle w:val="ab"/>
      </w:rPr>
      <w:fldChar w:fldCharType="end"/>
    </w:r>
  </w:p>
  <w:p w:rsidR="008A2746" w:rsidRPr="00882829" w:rsidRDefault="003B1F7D" w:rsidP="003B1F7D">
    <w:pPr>
      <w:pStyle w:val="a8"/>
      <w:jc w:val="right"/>
      <w:rPr>
        <w:color w:val="BFBFBF" w:themeColor="background1" w:themeShade="BF"/>
      </w:rPr>
    </w:pPr>
    <w:r w:rsidRPr="00882829">
      <w:rPr>
        <w:color w:val="BFBFBF" w:themeColor="background1" w:themeShade="BF"/>
      </w:rPr>
      <w:t>November 2019</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DC" w:rsidRPr="007921DC" w:rsidRDefault="007921DC">
    <w:pPr>
      <w:pStyle w:val="a8"/>
      <w:rPr>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D26" w:rsidRPr="00D02D0C" w:rsidRDefault="00970D26">
      <w:r w:rsidRPr="00D02D0C">
        <w:separator/>
      </w:r>
    </w:p>
  </w:footnote>
  <w:footnote w:type="continuationSeparator" w:id="0">
    <w:p w:rsidR="00970D26" w:rsidRPr="00D02D0C" w:rsidRDefault="00970D26">
      <w:r w:rsidRPr="00D02D0C">
        <w:continuationSeparator/>
      </w:r>
    </w:p>
  </w:footnote>
  <w:footnote w:id="1">
    <w:p w:rsidR="00F5111D" w:rsidRPr="003B1F7D" w:rsidRDefault="00F5111D" w:rsidP="00F5111D">
      <w:pPr>
        <w:pStyle w:val="a9"/>
        <w:ind w:left="170" w:hanging="170"/>
        <w:rPr>
          <w:sz w:val="16"/>
          <w:szCs w:val="16"/>
        </w:rPr>
      </w:pPr>
      <w:r w:rsidRPr="00235CE8">
        <w:rPr>
          <w:rStyle w:val="af"/>
        </w:rPr>
        <w:footnoteRef/>
      </w:r>
      <w:r w:rsidRPr="00E9496A">
        <w:t xml:space="preserve"> </w:t>
      </w:r>
      <w:r w:rsidRPr="003B1F7D">
        <w:rPr>
          <w:sz w:val="16"/>
          <w:szCs w:val="16"/>
        </w:rPr>
        <w:t xml:space="preserve">Inter-institutional agreements can be signed by two or more higher education Institutions (HEIs), at least one of them must be located in a Programme Country of Erasmus+. </w:t>
      </w:r>
    </w:p>
  </w:footnote>
  <w:footnote w:id="2">
    <w:p w:rsidR="00F5111D" w:rsidRPr="003B1F7D" w:rsidRDefault="00F5111D" w:rsidP="00F5111D">
      <w:pPr>
        <w:pStyle w:val="a9"/>
        <w:rPr>
          <w:sz w:val="16"/>
          <w:szCs w:val="16"/>
        </w:rPr>
      </w:pPr>
      <w:r w:rsidRPr="003B1F7D">
        <w:rPr>
          <w:rStyle w:val="af"/>
          <w:sz w:val="16"/>
          <w:szCs w:val="16"/>
        </w:rPr>
        <w:footnoteRef/>
      </w:r>
      <w:r w:rsidRPr="003B1F7D">
        <w:rPr>
          <w:sz w:val="16"/>
          <w:szCs w:val="16"/>
        </w:rPr>
        <w:t xml:space="preserve"> Higher Education Institutions have to agree on the period of validity of this agreement</w:t>
      </w:r>
    </w:p>
  </w:footnote>
  <w:footnote w:id="3">
    <w:p w:rsidR="00F5111D" w:rsidRPr="003B1F7D" w:rsidRDefault="00F5111D" w:rsidP="00F5111D">
      <w:pPr>
        <w:pStyle w:val="a9"/>
        <w:rPr>
          <w:sz w:val="16"/>
          <w:szCs w:val="16"/>
        </w:rPr>
      </w:pPr>
      <w:r w:rsidRPr="003B1F7D">
        <w:rPr>
          <w:rStyle w:val="af"/>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rsidR="00F5111D" w:rsidRPr="003B1F7D" w:rsidRDefault="00F5111D" w:rsidP="00F5111D">
      <w:pPr>
        <w:pStyle w:val="a9"/>
        <w:ind w:left="113" w:hanging="113"/>
        <w:rPr>
          <w:sz w:val="16"/>
          <w:szCs w:val="16"/>
        </w:rPr>
      </w:pPr>
      <w:r w:rsidRPr="003B1F7D">
        <w:rPr>
          <w:rStyle w:val="af"/>
          <w:sz w:val="16"/>
          <w:szCs w:val="16"/>
        </w:rPr>
        <w:footnoteRef/>
      </w:r>
      <w:r w:rsidRPr="003B1F7D">
        <w:rPr>
          <w:rStyle w:val="af"/>
          <w:sz w:val="16"/>
          <w:szCs w:val="16"/>
        </w:rPr>
        <w:t xml:space="preserve"> </w:t>
      </w:r>
      <w:r w:rsidRPr="003B1F7D">
        <w:rPr>
          <w:sz w:val="16"/>
          <w:szCs w:val="16"/>
        </w:rPr>
        <w:t>Clauses may be added to this template agreement to better reflect the nature of the institutional partnership.</w:t>
      </w:r>
    </w:p>
  </w:footnote>
  <w:footnote w:id="5">
    <w:p w:rsidR="00C42E69" w:rsidRPr="003B189E" w:rsidRDefault="00C42E69" w:rsidP="00C42E69">
      <w:pPr>
        <w:pStyle w:val="a9"/>
        <w:rPr>
          <w:sz w:val="16"/>
          <w:szCs w:val="16"/>
        </w:rPr>
      </w:pPr>
      <w:r w:rsidRPr="0087550C">
        <w:rPr>
          <w:rStyle w:val="af"/>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rsidR="00C42E69" w:rsidRPr="003B189E" w:rsidRDefault="00C42E69" w:rsidP="00C42E69">
      <w:pPr>
        <w:pStyle w:val="a9"/>
        <w:rPr>
          <w:color w:val="FF0000"/>
          <w:sz w:val="16"/>
          <w:szCs w:val="16"/>
        </w:rPr>
      </w:pPr>
      <w:r w:rsidRPr="003B189E">
        <w:rPr>
          <w:rStyle w:val="af"/>
          <w:sz w:val="16"/>
          <w:szCs w:val="16"/>
        </w:rPr>
        <w:footnoteRef/>
      </w:r>
      <w:r w:rsidRPr="003B189E">
        <w:rPr>
          <w:rStyle w:val="af"/>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rsidR="00C42E69" w:rsidRPr="007C4C4B" w:rsidRDefault="00C42E69" w:rsidP="00C42E69">
      <w:pPr>
        <w:pStyle w:val="a9"/>
        <w:rPr>
          <w:i/>
        </w:rPr>
      </w:pPr>
      <w:r w:rsidRPr="003B189E">
        <w:rPr>
          <w:rStyle w:val="af"/>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
            <w:i/>
            <w:sz w:val="16"/>
            <w:szCs w:val="16"/>
          </w:rPr>
          <w:t>http://www.uis.unesco.org/Education/Pages/international-standard-classification-of-education.aspx</w:t>
        </w:r>
      </w:hyperlink>
      <w:r w:rsidRPr="003B189E">
        <w:rPr>
          <w:i/>
          <w:sz w:val="16"/>
          <w:szCs w:val="16"/>
        </w:rPr>
        <w:t>)</w:t>
      </w:r>
    </w:p>
  </w:footnote>
  <w:footnote w:id="8">
    <w:p w:rsidR="00C42E69" w:rsidRPr="00291D6D" w:rsidRDefault="00C42E69" w:rsidP="00C42E69">
      <w:r>
        <w:rPr>
          <w:rStyle w:val="af"/>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
            <w:sz w:val="16"/>
            <w:szCs w:val="16"/>
          </w:rPr>
          <w:t>http://europass.cedefop.europa.eu/en/resources/european-language-levels-cefr</w:t>
        </w:r>
      </w:hyperlink>
    </w:p>
  </w:footnote>
  <w:footnote w:id="9">
    <w:p w:rsidR="00C42E69" w:rsidRPr="00BD6D0F" w:rsidRDefault="00C42E69" w:rsidP="00C42E69">
      <w:pPr>
        <w:pStyle w:val="a9"/>
      </w:pPr>
      <w:r>
        <w:rPr>
          <w:rStyle w:val="af"/>
        </w:rPr>
        <w:footnoteRef/>
      </w:r>
      <w:r>
        <w:t xml:space="preserve"> </w:t>
      </w:r>
      <w:hyperlink r:id="rId3" w:history="1">
        <w:r w:rsidRPr="003B189E">
          <w:rPr>
            <w:rStyle w:val="-"/>
            <w:sz w:val="16"/>
            <w:szCs w:val="16"/>
          </w:rPr>
          <w:t>http://ec.europa.eu/education/tools/docs/ects-guide_en.pdf</w:t>
        </w:r>
      </w:hyperlink>
      <w:r>
        <w:t xml:space="preserve"> </w:t>
      </w:r>
    </w:p>
  </w:footnote>
  <w:footnote w:id="10">
    <w:p w:rsidR="00C42E69" w:rsidRPr="00291D6D" w:rsidRDefault="00C42E69" w:rsidP="00C42E69">
      <w:pPr>
        <w:pStyle w:val="a9"/>
      </w:pPr>
      <w:r>
        <w:rPr>
          <w:rStyle w:val="af"/>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CC" w:rsidRDefault="00157CCC" w:rsidP="00157CCC">
    <w:pPr>
      <w:pStyle w:val="a6"/>
      <w:jc w:val="left"/>
      <w:rPr>
        <w:i w:val="0"/>
      </w:rPr>
    </w:pPr>
  </w:p>
  <w:p w:rsidR="00157CCC" w:rsidRPr="00157CCC" w:rsidRDefault="00157CCC" w:rsidP="00157CCC">
    <w:pPr>
      <w:pStyle w:val="a6"/>
      <w:jc w:val="left"/>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E26" w:rsidRDefault="001F2E2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7A" w:rsidRPr="00157CCC" w:rsidRDefault="00CC057A" w:rsidP="00CE1343">
    <w:pPr>
      <w:pStyle w:val="a6"/>
      <w:jc w:val="right"/>
      <w:rPr>
        <w:i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43" w:rsidRDefault="00CE1343" w:rsidP="00903D75">
    <w:pPr>
      <w:pStyle w:val="a6"/>
      <w:rPr>
        <w:i w:val="0"/>
        <w:color w:val="FF0000"/>
        <w:lang w:val="fr-BE"/>
      </w:rPr>
    </w:pPr>
  </w:p>
  <w:p w:rsidR="00CE1343" w:rsidRDefault="00CE1343" w:rsidP="00903D75">
    <w:pPr>
      <w:pStyle w:val="a6"/>
      <w:rPr>
        <w:i w:val="0"/>
        <w:color w:val="FF0000"/>
        <w:lang w:val="fr-BE"/>
      </w:rPr>
    </w:pPr>
  </w:p>
  <w:p w:rsidR="0037003F" w:rsidRDefault="0037003F" w:rsidP="00903D75">
    <w:pPr>
      <w:pStyle w:val="a6"/>
      <w:rPr>
        <w:i w:val="0"/>
        <w:color w:val="FF0000"/>
        <w:lang w:val="fr-BE"/>
      </w:rPr>
    </w:pPr>
  </w:p>
  <w:p w:rsidR="009A260B" w:rsidRPr="00903D75" w:rsidRDefault="00DE23F1" w:rsidP="00903D75">
    <w:pPr>
      <w:pStyle w:val="a6"/>
    </w:pPr>
    <w:r w:rsidRPr="00C42E69">
      <w:rPr>
        <w:i w:val="0"/>
        <w:lang w:val="fr-BE"/>
      </w:rPr>
      <w:t>Erasmus+ Inter-institutional agreement 20[14]-20[23]</w:t>
    </w:r>
    <w:r w:rsidRPr="00CE1343">
      <w:rPr>
        <w:i w:val="0"/>
        <w:lang w:val="fr-BE"/>
      </w:rPr>
      <w:t xml:space="preserve"> </w:t>
    </w:r>
    <w:r w:rsidR="0017706F" w:rsidRPr="0017706F">
      <w:rPr>
        <w:noProof/>
        <w:lang w:val="el-GR" w:eastAsia="el-GR"/>
      </w:rPr>
      <w:drawing>
        <wp:anchor distT="0" distB="0" distL="114300" distR="114300" simplePos="0" relativeHeight="251664384" behindDoc="0" locked="0" layoutInCell="1" allowOverlap="1">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1200" cy="435600"/>
                  </a:xfrm>
                  <a:prstGeom prst="rect">
                    <a:avLst/>
                  </a:prstGeom>
                </pic:spPr>
              </pic:pic>
            </a:graphicData>
          </a:graphic>
        </wp:anchor>
      </w:drawing>
    </w:r>
    <w:r w:rsidR="00FD439D" w:rsidRPr="00FD439D">
      <w:rPr>
        <w:noProof/>
      </w:rPr>
      <w:pict>
        <v:line id="Straight Connector 25" o:spid="_x0000_s60418" style="position:absolute;left:0;text-align:left;z-index:251670528;visibility:visible;mso-position-horizontal:right;mso-position-horizontal-relative:margin;mso-position-vertical-relative:page;mso-width-relative:margin" from="815.9pt,76.55pt" to="1269.4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43" w:rsidRDefault="00CE1343" w:rsidP="00CE1343">
    <w:pPr>
      <w:pStyle w:val="a6"/>
      <w:jc w:val="right"/>
      <w:rPr>
        <w:i w:val="0"/>
        <w:lang w:val="fr-BE"/>
      </w:rPr>
    </w:pPr>
  </w:p>
  <w:p w:rsidR="0037003F" w:rsidRDefault="0037003F" w:rsidP="00CE1343">
    <w:pPr>
      <w:pStyle w:val="a6"/>
      <w:jc w:val="right"/>
      <w:rPr>
        <w:i w:val="0"/>
        <w:color w:val="FF0000"/>
        <w:lang w:val="fr-BE"/>
      </w:rPr>
    </w:pPr>
  </w:p>
  <w:p w:rsidR="0037003F" w:rsidRDefault="0037003F" w:rsidP="00CE1343">
    <w:pPr>
      <w:pStyle w:val="a6"/>
      <w:jc w:val="right"/>
      <w:rPr>
        <w:i w:val="0"/>
        <w:color w:val="FF0000"/>
        <w:lang w:val="fr-BE"/>
      </w:rPr>
    </w:pPr>
  </w:p>
  <w:p w:rsidR="002274E7" w:rsidRPr="00CE1343" w:rsidRDefault="0017706F" w:rsidP="00CE1343">
    <w:pPr>
      <w:pStyle w:val="a6"/>
      <w:jc w:val="right"/>
      <w:rPr>
        <w:i w:val="0"/>
        <w:lang w:val="fr-BE"/>
      </w:rPr>
    </w:pPr>
    <w:r w:rsidRPr="00CE1343">
      <w:rPr>
        <w:i w:val="0"/>
        <w:noProof/>
        <w:color w:val="FF0000"/>
        <w:lang w:val="el-GR" w:eastAsia="el-GR"/>
      </w:rPr>
      <w:drawing>
        <wp:anchor distT="0" distB="0" distL="114300" distR="114300" simplePos="0" relativeHeight="251650048" behindDoc="0" locked="0" layoutInCell="1" allowOverlap="1">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7600" cy="439200"/>
                  </a:xfrm>
                  <a:prstGeom prst="rect">
                    <a:avLst/>
                  </a:prstGeom>
                </pic:spPr>
              </pic:pic>
            </a:graphicData>
          </a:graphic>
        </wp:anchor>
      </w:drawing>
    </w:r>
    <w:r w:rsidR="00FD439D" w:rsidRPr="00FD439D">
      <w:rPr>
        <w:i w:val="0"/>
        <w:noProof/>
        <w:color w:val="FF0000"/>
      </w:rPr>
      <w:pict>
        <v:line id="Straight Connector 11" o:spid="_x0000_s60417" style="position:absolute;left:0;text-align:left;z-index:251676672;visibility:visible;mso-position-horizontal-relative:pag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w:r>
    <w:r w:rsidR="00C42E69" w:rsidRPr="00C42E69">
      <w:t xml:space="preserve"> </w:t>
    </w:r>
    <w:r w:rsidR="00C42E69" w:rsidRPr="00C42E69">
      <w:rPr>
        <w:i w:val="0"/>
        <w:lang w:val="fr-BE"/>
      </w:rPr>
      <w:t>Erasmus+ Inter-institutional agreement 20[14]-20[23]</w:t>
    </w:r>
    <w:r w:rsidR="00CE1343" w:rsidRPr="00CE1343">
      <w:rPr>
        <w:i w:val="0"/>
        <w:lang w:val="fr-BE"/>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DC" w:rsidRPr="007719D2" w:rsidRDefault="007921DC" w:rsidP="007719D2">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F3D" w:rsidRPr="007719D2" w:rsidRDefault="00581F3D" w:rsidP="007719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84D4E2"/>
    <w:lvl w:ilvl="0">
      <w:start w:val="1"/>
      <w:numFmt w:val="decimal"/>
      <w:pStyle w:val="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a"/>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D7076"/>
    <w:multiLevelType w:val="multilevel"/>
    <w:tmpl w:val="B1B28B22"/>
    <w:numStyleLink w:val="Style2"/>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CB576DF"/>
    <w:multiLevelType w:val="multilevel"/>
    <w:tmpl w:val="B1B28B22"/>
    <w:numStyleLink w:val="Style2"/>
  </w:abstractNum>
  <w:abstractNum w:abstractNumId="19">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nsid w:val="461E1FB0"/>
    <w:multiLevelType w:val="hybridMultilevel"/>
    <w:tmpl w:val="BAD056B8"/>
    <w:lvl w:ilvl="0" w:tplc="1734716A">
      <w:start w:val="1"/>
      <w:numFmt w:val="bullet"/>
      <w:pStyle w:val="20"/>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1758EF"/>
    <w:multiLevelType w:val="multilevel"/>
    <w:tmpl w:val="B1B28B22"/>
    <w:numStyleLink w:val="Style2"/>
  </w:abstractNum>
  <w:abstractNum w:abstractNumId="26">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024F9C"/>
    <w:multiLevelType w:val="multilevel"/>
    <w:tmpl w:val="B1B28B22"/>
    <w:numStyleLink w:val="Style2"/>
  </w:abstractNum>
  <w:abstractNum w:abstractNumId="28">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nsid w:val="656642F7"/>
    <w:multiLevelType w:val="hybridMultilevel"/>
    <w:tmpl w:val="F6CEE4C8"/>
    <w:lvl w:ilvl="0" w:tplc="690E9CB0">
      <w:start w:val="1"/>
      <w:numFmt w:val="bullet"/>
      <w:pStyle w:val="a0"/>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6F10AD0"/>
    <w:multiLevelType w:val="multilevel"/>
    <w:tmpl w:val="A8C2921C"/>
    <w:numStyleLink w:val="NumbLstAnnex"/>
  </w:abstractNum>
  <w:abstractNum w:abstractNumId="31">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hdrShapeDefaults>
    <o:shapedefaults v:ext="edit" spidmax="61442" style="mso-position-horizontal-relative:page;mso-position-vertical-relative:page" fill="f" fillcolor="white" stroke="f">
      <v:fill color="white" on="f"/>
      <v:stroke on="f"/>
      <o:colormenu v:ext="edit" strokecolor="none [3213]"/>
    </o:shapedefaults>
    <o:shapelayout v:ext="edit">
      <o:idmap v:ext="edit" data="59"/>
    </o:shapelayout>
  </w:hdrShapeDefaults>
  <w:footnotePr>
    <w:footnote w:id="-1"/>
    <w:footnote w:id="0"/>
  </w:footnotePr>
  <w:endnotePr>
    <w:endnote w:id="-1"/>
    <w:endnote w:id="0"/>
  </w:endnotePr>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5F6"/>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3BD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6C44"/>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5491"/>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0D26"/>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D439D"/>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style="mso-position-horizontal-relative:page;mso-position-vertical-relative:page" fill="f" fillcolor="white" stroke="f">
      <v:fill color="white" on="f"/>
      <v:stroke on="f"/>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79C8"/>
    <w:pPr>
      <w:jc w:val="both"/>
    </w:pPr>
    <w:rPr>
      <w:rFonts w:ascii="Verdana" w:hAnsi="Verdana"/>
      <w:color w:val="333333"/>
      <w:szCs w:val="24"/>
      <w:lang w:eastAsia="en-GB"/>
    </w:rPr>
  </w:style>
  <w:style w:type="paragraph" w:styleId="1">
    <w:name w:val="heading 1"/>
    <w:basedOn w:val="a1"/>
    <w:next w:val="a1"/>
    <w:link w:val="1Char"/>
    <w:qFormat/>
    <w:rsid w:val="00B60F8E"/>
    <w:pPr>
      <w:keepNext/>
      <w:spacing w:after="60"/>
      <w:outlineLvl w:val="0"/>
    </w:pPr>
    <w:rPr>
      <w:rFonts w:cs="Arial"/>
      <w:b/>
      <w:bCs/>
      <w:color w:val="263673"/>
      <w:kern w:val="32"/>
      <w:sz w:val="28"/>
      <w:szCs w:val="32"/>
    </w:rPr>
  </w:style>
  <w:style w:type="paragraph" w:styleId="21">
    <w:name w:val="heading 2"/>
    <w:basedOn w:val="a1"/>
    <w:next w:val="a2"/>
    <w:link w:val="2Char"/>
    <w:qFormat/>
    <w:rsid w:val="00C80213"/>
    <w:pPr>
      <w:keepNext/>
      <w:spacing w:before="240" w:after="60"/>
      <w:outlineLvl w:val="1"/>
    </w:pPr>
    <w:rPr>
      <w:rFonts w:cs="Arial"/>
      <w:b/>
      <w:bCs/>
      <w:iCs/>
      <w:color w:val="263673"/>
      <w:sz w:val="24"/>
      <w:szCs w:val="28"/>
    </w:rPr>
  </w:style>
  <w:style w:type="paragraph" w:styleId="30">
    <w:name w:val="heading 3"/>
    <w:basedOn w:val="a1"/>
    <w:next w:val="a2"/>
    <w:qFormat/>
    <w:rsid w:val="00C80213"/>
    <w:pPr>
      <w:keepNext/>
      <w:spacing w:before="240" w:after="60"/>
      <w:outlineLvl w:val="2"/>
    </w:pPr>
    <w:rPr>
      <w:rFonts w:cs="Arial"/>
      <w:b/>
      <w:bCs/>
      <w:color w:val="263673"/>
      <w:sz w:val="22"/>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1">
    <w:name w:val="Style1"/>
    <w:basedOn w:val="a1"/>
    <w:rsid w:val="00A579C8"/>
  </w:style>
  <w:style w:type="paragraph" w:styleId="a2">
    <w:name w:val="Body Text"/>
    <w:basedOn w:val="a1"/>
    <w:link w:val="Char"/>
    <w:rsid w:val="00D13C59"/>
    <w:pPr>
      <w:spacing w:after="120"/>
    </w:pPr>
  </w:style>
  <w:style w:type="character" w:styleId="-">
    <w:name w:val="Hyperlink"/>
    <w:uiPriority w:val="99"/>
    <w:rsid w:val="00A579C8"/>
    <w:rPr>
      <w:rFonts w:ascii="Verdana" w:hAnsi="Verdana"/>
      <w:color w:val="1A3F7C"/>
      <w:sz w:val="20"/>
      <w:u w:val="none"/>
    </w:rPr>
  </w:style>
  <w:style w:type="paragraph" w:styleId="a">
    <w:name w:val="List Number"/>
    <w:aliases w:val="List Number Justified"/>
    <w:basedOn w:val="a1"/>
    <w:rsid w:val="00A579C8"/>
    <w:pPr>
      <w:numPr>
        <w:numId w:val="6"/>
      </w:numPr>
    </w:pPr>
  </w:style>
  <w:style w:type="paragraph" w:styleId="20">
    <w:name w:val="List Bullet 2"/>
    <w:basedOn w:val="a1"/>
    <w:link w:val="2Char0"/>
    <w:rsid w:val="00EB58BA"/>
    <w:pPr>
      <w:numPr>
        <w:numId w:val="17"/>
      </w:numPr>
      <w:spacing w:before="60" w:after="60"/>
      <w:jc w:val="left"/>
    </w:pPr>
  </w:style>
  <w:style w:type="paragraph" w:styleId="2">
    <w:name w:val="List Number 2"/>
    <w:basedOn w:val="a1"/>
    <w:rsid w:val="00A579C8"/>
    <w:pPr>
      <w:numPr>
        <w:numId w:val="7"/>
      </w:numPr>
      <w:spacing w:before="80" w:after="80"/>
    </w:pPr>
  </w:style>
  <w:style w:type="paragraph" w:styleId="4">
    <w:name w:val="List Number 4"/>
    <w:basedOn w:val="a1"/>
    <w:rsid w:val="00A579C8"/>
    <w:pPr>
      <w:numPr>
        <w:numId w:val="9"/>
      </w:numPr>
    </w:pPr>
  </w:style>
  <w:style w:type="paragraph" w:styleId="3">
    <w:name w:val="List Number 3"/>
    <w:basedOn w:val="a1"/>
    <w:rsid w:val="00A579C8"/>
    <w:pPr>
      <w:numPr>
        <w:numId w:val="8"/>
      </w:numPr>
    </w:pPr>
  </w:style>
  <w:style w:type="character" w:customStyle="1" w:styleId="Char0">
    <w:name w:val="Κεφαλίδα Char"/>
    <w:link w:val="a6"/>
    <w:uiPriority w:val="99"/>
    <w:rsid w:val="00D13C59"/>
    <w:rPr>
      <w:rFonts w:ascii="Verdana" w:hAnsi="Verdana"/>
      <w:i/>
      <w:color w:val="000000"/>
      <w:sz w:val="16"/>
      <w:szCs w:val="24"/>
      <w:lang w:val="en-GB" w:eastAsia="en-GB" w:bidi="ar-SA"/>
    </w:rPr>
  </w:style>
  <w:style w:type="paragraph" w:styleId="a7">
    <w:name w:val="Normal Indent"/>
    <w:basedOn w:val="a1"/>
    <w:rsid w:val="00A579C8"/>
    <w:pPr>
      <w:ind w:left="720"/>
    </w:pPr>
  </w:style>
  <w:style w:type="paragraph" w:customStyle="1" w:styleId="StyleListNumberListNumberJustifiedCustomColorRGB266312">
    <w:name w:val="Style List NumberList Number Justified + Custom Color(RGB(266312..."/>
    <w:basedOn w:val="a"/>
    <w:rsid w:val="00B41BBD"/>
    <w:pPr>
      <w:ind w:left="0" w:firstLine="0"/>
    </w:pPr>
    <w:rPr>
      <w:szCs w:val="20"/>
    </w:rPr>
  </w:style>
  <w:style w:type="paragraph" w:styleId="a8">
    <w:name w:val="footer"/>
    <w:basedOn w:val="a9"/>
    <w:link w:val="Char1"/>
    <w:uiPriority w:val="99"/>
    <w:rsid w:val="00D13C59"/>
    <w:pPr>
      <w:tabs>
        <w:tab w:val="center" w:pos="4153"/>
        <w:tab w:val="right" w:pos="8306"/>
      </w:tabs>
    </w:pPr>
    <w:rPr>
      <w:i/>
      <w:color w:val="808080"/>
      <w:sz w:val="16"/>
    </w:rPr>
  </w:style>
  <w:style w:type="paragraph" w:styleId="a6">
    <w:name w:val="header"/>
    <w:basedOn w:val="a1"/>
    <w:link w:val="Char0"/>
    <w:uiPriority w:val="99"/>
    <w:rsid w:val="00D13C59"/>
    <w:pPr>
      <w:tabs>
        <w:tab w:val="center" w:pos="4153"/>
        <w:tab w:val="right" w:pos="8306"/>
      </w:tabs>
    </w:pPr>
    <w:rPr>
      <w:i/>
      <w:color w:val="000000"/>
      <w:sz w:val="16"/>
    </w:rPr>
  </w:style>
  <w:style w:type="paragraph" w:styleId="aa">
    <w:name w:val="Date"/>
    <w:basedOn w:val="a1"/>
    <w:next w:val="a1"/>
    <w:rsid w:val="00D13C59"/>
    <w:rPr>
      <w:color w:val="808080"/>
      <w:sz w:val="16"/>
    </w:rPr>
  </w:style>
  <w:style w:type="paragraph" w:styleId="5">
    <w:name w:val="List Number 5"/>
    <w:basedOn w:val="a1"/>
    <w:rsid w:val="00A579C8"/>
    <w:pPr>
      <w:numPr>
        <w:numId w:val="10"/>
      </w:numPr>
    </w:pPr>
  </w:style>
  <w:style w:type="table" w:styleId="3-1">
    <w:name w:val="Table 3D effects 1"/>
    <w:basedOn w:val="a4"/>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4"/>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4"/>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ab">
    <w:name w:val="page number"/>
    <w:rsid w:val="00D13C59"/>
    <w:rPr>
      <w:rFonts w:ascii="Verdana" w:hAnsi="Verdana"/>
      <w:color w:val="333333"/>
      <w:sz w:val="20"/>
    </w:rPr>
  </w:style>
  <w:style w:type="character" w:customStyle="1" w:styleId="2Char">
    <w:name w:val="Επικεφαλίδα 2 Char"/>
    <w:link w:val="21"/>
    <w:rsid w:val="00C80213"/>
    <w:rPr>
      <w:rFonts w:ascii="Verdana" w:hAnsi="Verdana" w:cs="Arial"/>
      <w:b/>
      <w:bCs/>
      <w:iCs/>
      <w:color w:val="263673"/>
      <w:sz w:val="24"/>
      <w:szCs w:val="28"/>
      <w:lang w:eastAsia="en-GB"/>
    </w:rPr>
  </w:style>
  <w:style w:type="paragraph" w:customStyle="1" w:styleId="StyleBodyTextAfter0pt">
    <w:name w:val="Style Body Text + After:  0 pt"/>
    <w:basedOn w:val="a2"/>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a1"/>
    <w:rsid w:val="00A579C8"/>
    <w:pPr>
      <w:numPr>
        <w:numId w:val="13"/>
      </w:numPr>
      <w:spacing w:after="220"/>
      <w:ind w:left="360"/>
      <w:jc w:val="left"/>
    </w:pPr>
    <w:rPr>
      <w:color w:val="000000"/>
    </w:rPr>
  </w:style>
  <w:style w:type="character" w:customStyle="1" w:styleId="Char">
    <w:name w:val="Σώμα κειμένου Char"/>
    <w:link w:val="a2"/>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a1"/>
    <w:rsid w:val="00E248C6"/>
    <w:pPr>
      <w:numPr>
        <w:numId w:val="1"/>
      </w:numPr>
      <w:spacing w:before="80" w:after="80"/>
      <w:jc w:val="left"/>
    </w:pPr>
    <w:rPr>
      <w:szCs w:val="20"/>
    </w:rPr>
  </w:style>
  <w:style w:type="paragraph" w:styleId="a9">
    <w:name w:val="footnote text"/>
    <w:basedOn w:val="a1"/>
    <w:link w:val="Char2"/>
    <w:rsid w:val="004D5591"/>
    <w:rPr>
      <w:szCs w:val="20"/>
    </w:rPr>
  </w:style>
  <w:style w:type="paragraph" w:styleId="23">
    <w:name w:val="toc 2"/>
    <w:basedOn w:val="a1"/>
    <w:next w:val="a1"/>
    <w:autoRedefine/>
    <w:uiPriority w:val="39"/>
    <w:rsid w:val="00D2200F"/>
    <w:pPr>
      <w:ind w:left="200"/>
    </w:pPr>
  </w:style>
  <w:style w:type="paragraph" w:styleId="10">
    <w:name w:val="toc 1"/>
    <w:basedOn w:val="a1"/>
    <w:next w:val="a1"/>
    <w:autoRedefine/>
    <w:uiPriority w:val="39"/>
    <w:qFormat/>
    <w:rsid w:val="0037003F"/>
    <w:pPr>
      <w:tabs>
        <w:tab w:val="right" w:leader="dot" w:pos="9070"/>
      </w:tabs>
    </w:pPr>
  </w:style>
  <w:style w:type="table" w:styleId="ac">
    <w:name w:val="Table Professional"/>
    <w:basedOn w:val="a4"/>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5"/>
    <w:rsid w:val="00B103AE"/>
    <w:pPr>
      <w:numPr>
        <w:numId w:val="14"/>
      </w:numPr>
    </w:pPr>
  </w:style>
  <w:style w:type="paragraph" w:customStyle="1" w:styleId="StyleHeading1VerdanaAuto">
    <w:name w:val="Style Heading 1 + Verdana Auto"/>
    <w:basedOn w:val="1"/>
    <w:rsid w:val="00D02D0C"/>
  </w:style>
  <w:style w:type="paragraph" w:customStyle="1" w:styleId="StyleHeading1VerdanaAuto1">
    <w:name w:val="Style Heading 1 + Verdana Auto1"/>
    <w:basedOn w:val="1"/>
    <w:rsid w:val="00D02D0C"/>
  </w:style>
  <w:style w:type="paragraph" w:customStyle="1" w:styleId="StyleHeading2VerdanaAuto">
    <w:name w:val="Style Heading 2 + Verdana Auto"/>
    <w:basedOn w:val="21"/>
    <w:rsid w:val="00A579C8"/>
    <w:rPr>
      <w:iCs w:val="0"/>
    </w:rPr>
  </w:style>
  <w:style w:type="paragraph" w:customStyle="1" w:styleId="StyleListBullet2">
    <w:name w:val="Style List Bullet 2 +"/>
    <w:basedOn w:val="20"/>
    <w:link w:val="StyleListBullet2Char"/>
    <w:rsid w:val="00A579C8"/>
  </w:style>
  <w:style w:type="character" w:customStyle="1" w:styleId="2Char0">
    <w:name w:val="Λίστα με κουκκίδες 2 Char"/>
    <w:link w:val="20"/>
    <w:rsid w:val="00A579C8"/>
    <w:rPr>
      <w:rFonts w:ascii="Verdana" w:hAnsi="Verdana"/>
      <w:color w:val="333333"/>
      <w:szCs w:val="24"/>
      <w:lang w:val="en-GB" w:eastAsia="en-GB" w:bidi="ar-SA"/>
    </w:rPr>
  </w:style>
  <w:style w:type="character" w:customStyle="1" w:styleId="StyleListBullet2Char">
    <w:name w:val="Style List Bullet 2 + Char"/>
    <w:basedOn w:val="2Char0"/>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1Char">
    <w:name w:val="Επικεφαλίδα 1 Char"/>
    <w:link w:val="1"/>
    <w:rsid w:val="00B60F8E"/>
    <w:rPr>
      <w:rFonts w:ascii="Verdana" w:hAnsi="Verdana" w:cs="Arial"/>
      <w:b/>
      <w:bCs/>
      <w:color w:val="263673"/>
      <w:kern w:val="32"/>
      <w:sz w:val="28"/>
      <w:szCs w:val="32"/>
      <w:lang w:eastAsia="en-GB"/>
    </w:rPr>
  </w:style>
  <w:style w:type="paragraph" w:customStyle="1" w:styleId="StyleHeading1Gray-80">
    <w:name w:val="Style Heading 1 + Gray-80%"/>
    <w:basedOn w:val="1"/>
    <w:link w:val="StyleHeading1Gray-80Char"/>
    <w:rsid w:val="00D02D0C"/>
  </w:style>
  <w:style w:type="character" w:customStyle="1" w:styleId="StyleHeading1Gray-80Char">
    <w:name w:val="Style Heading 1 + Gray-80% Char"/>
    <w:basedOn w:val="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1"/>
    <w:rsid w:val="00D02D0C"/>
  </w:style>
  <w:style w:type="character" w:customStyle="1" w:styleId="Char1">
    <w:name w:val="Υποσέλιδο Char"/>
    <w:link w:val="a8"/>
    <w:uiPriority w:val="99"/>
    <w:rsid w:val="00CF6094"/>
    <w:rPr>
      <w:rFonts w:ascii="Verdana" w:hAnsi="Verdana"/>
      <w:i/>
      <w:color w:val="808080"/>
      <w:sz w:val="16"/>
    </w:rPr>
  </w:style>
  <w:style w:type="paragraph" w:styleId="ad">
    <w:name w:val="Balloon Text"/>
    <w:basedOn w:val="a1"/>
    <w:link w:val="Char3"/>
    <w:rsid w:val="00CF6094"/>
    <w:rPr>
      <w:rFonts w:ascii="Tahoma" w:hAnsi="Tahoma" w:cs="Tahoma"/>
      <w:sz w:val="16"/>
      <w:szCs w:val="16"/>
    </w:rPr>
  </w:style>
  <w:style w:type="character" w:customStyle="1" w:styleId="Char3">
    <w:name w:val="Κείμενο πλαισίου Char"/>
    <w:link w:val="ad"/>
    <w:rsid w:val="00CF6094"/>
    <w:rPr>
      <w:rFonts w:ascii="Tahoma" w:hAnsi="Tahoma" w:cs="Tahoma"/>
      <w:color w:val="333333"/>
      <w:sz w:val="16"/>
      <w:szCs w:val="16"/>
    </w:rPr>
  </w:style>
  <w:style w:type="paragraph" w:styleId="a0">
    <w:name w:val="List Paragraph"/>
    <w:basedOn w:val="a1"/>
    <w:qFormat/>
    <w:rsid w:val="008F2FE9"/>
    <w:pPr>
      <w:numPr>
        <w:numId w:val="24"/>
      </w:numPr>
    </w:pPr>
  </w:style>
  <w:style w:type="paragraph" w:styleId="ae">
    <w:name w:val="No Spacing"/>
    <w:link w:val="Char4"/>
    <w:uiPriority w:val="1"/>
    <w:qFormat/>
    <w:rsid w:val="005C3A30"/>
    <w:rPr>
      <w:rFonts w:ascii="Calibri" w:eastAsia="MS Mincho" w:hAnsi="Calibri" w:cs="Arial"/>
      <w:sz w:val="22"/>
      <w:szCs w:val="22"/>
      <w:lang w:val="en-US" w:eastAsia="ja-JP"/>
    </w:rPr>
  </w:style>
  <w:style w:type="character" w:customStyle="1" w:styleId="Char4">
    <w:name w:val="Χωρίς διάστιχο Char"/>
    <w:link w:val="ae"/>
    <w:uiPriority w:val="1"/>
    <w:rsid w:val="005C3A30"/>
    <w:rPr>
      <w:rFonts w:ascii="Calibri" w:eastAsia="MS Mincho" w:hAnsi="Calibri" w:cs="Arial"/>
      <w:sz w:val="22"/>
      <w:szCs w:val="22"/>
      <w:lang w:val="en-US" w:eastAsia="ja-JP"/>
    </w:rPr>
  </w:style>
  <w:style w:type="paragraph" w:customStyle="1" w:styleId="AnnexHeading">
    <w:name w:val="AnnexHeading"/>
    <w:basedOn w:val="a1"/>
    <w:next w:val="a1"/>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a1"/>
    <w:next w:val="a2"/>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a1"/>
    <w:next w:val="a2"/>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a1"/>
    <w:next w:val="a2"/>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a1"/>
    <w:next w:val="a2"/>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a1"/>
    <w:next w:val="a2"/>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a1"/>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a1"/>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a1"/>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a1"/>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a1"/>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Char2">
    <w:name w:val="Κείμενο υποσημείωσης Char"/>
    <w:link w:val="a9"/>
    <w:rsid w:val="00F5111D"/>
    <w:rPr>
      <w:rFonts w:ascii="Verdana" w:hAnsi="Verdana"/>
      <w:color w:val="333333"/>
      <w:lang w:eastAsia="en-GB"/>
    </w:rPr>
  </w:style>
  <w:style w:type="character" w:styleId="af">
    <w:name w:val="footnote reference"/>
    <w:uiPriority w:val="99"/>
    <w:semiHidden/>
    <w:unhideWhenUsed/>
    <w:rsid w:val="00F5111D"/>
    <w:rPr>
      <w:vertAlign w:val="superscript"/>
    </w:rPr>
  </w:style>
  <w:style w:type="numbering" w:customStyle="1" w:styleId="List0">
    <w:name w:val="List 0"/>
    <w:basedOn w:val="a5"/>
    <w:rsid w:val="00C42E69"/>
    <w:pPr>
      <w:numPr>
        <w:numId w:val="29"/>
      </w:numPr>
    </w:pPr>
  </w:style>
  <w:style w:type="numbering" w:customStyle="1" w:styleId="List1">
    <w:name w:val="List 1"/>
    <w:basedOn w:val="a5"/>
    <w:rsid w:val="00C42E69"/>
    <w:pPr>
      <w:numPr>
        <w:numId w:val="3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acea.ec.europa.eu/erasmus-plus/actions/erasmus-charter_en"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33453-696B-46A6-AD1D-01EC45E2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1837</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Erasmus+ Inter-institutional agreement 20[14]-20[23]</vt:lpstr>
    </vt:vector>
  </TitlesOfParts>
  <Company>European Commission</Company>
  <LinksUpToDate>false</LinksUpToDate>
  <CharactersWithSpaces>11739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fkoump</cp:lastModifiedBy>
  <cp:revision>2</cp:revision>
  <cp:lastPrinted>2015-02-03T16:00:00Z</cp:lastPrinted>
  <dcterms:created xsi:type="dcterms:W3CDTF">2020-02-21T11:20:00Z</dcterms:created>
  <dcterms:modified xsi:type="dcterms:W3CDTF">2020-02-21T11:20:00Z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